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880" w:after="240"/>
        <w:jc w:val="center"/>
      </w:pPr>
      <w:r>
        <w:rPr>
          <w:rFonts w:ascii="Arial" w:cs="Arial" w:eastAsia="Arial" w:hAnsi="Arial"/>
          <w:b/>
          <w:bCs/>
          <w:color w:val="1F4E78"/>
          <w:sz w:val="40"/>
          <w:szCs w:val="40"/>
        </w:rPr>
        <w:t xml:space="preserve">SALARY BENCHMARKING GUIDE</w:t>
      </w:r>
    </w:p>
    <w:p>
      <w:pPr>
        <w:spacing w:after="960"/>
        <w:jc w:val="center"/>
      </w:pPr>
      <w:r>
        <w:rPr>
          <w:rFonts w:ascii="Arial" w:cs="Arial" w:eastAsia="Arial" w:hAnsi="Arial"/>
          <w:color w:val="2E75B5"/>
          <w:sz w:val="28"/>
          <w:szCs w:val="28"/>
        </w:rPr>
        <w:t xml:space="preserve">A Comprehensive Guide to Market Compensation Analysis</w:t>
      </w:r>
    </w:p>
    <w:p>
      <w:pPr>
        <w:spacing w:before="1440" w:after="240"/>
        <w:jc w:val="center"/>
      </w:pPr>
      <w:r>
        <w:rPr>
          <w:b/>
          <w:bCs/>
          <w:sz w:val="24"/>
          <w:szCs w:val="24"/>
        </w:rPr>
        <w:t xml:space="preserve">Prepared by:</w:t>
      </w:r>
    </w:p>
    <w:p>
      <w:pPr>
        <w:spacing w:after="120"/>
        <w:jc w:val="center"/>
      </w:pPr>
      <w:r>
        <w:rPr>
          <w:b/>
          <w:bCs/>
          <w:color w:val="1F4E78"/>
          <w:sz w:val="28"/>
          <w:szCs w:val="28"/>
        </w:rPr>
        <w:t xml:space="preserve">Jurist Zone Management Consultant</w:t>
      </w:r>
    </w:p>
    <w:p>
      <w:pPr>
        <w:spacing w:after="120"/>
        <w:jc w:val="center"/>
      </w:pPr>
      <w:r>
        <w:rPr>
          <w:color w:val="0563C1"/>
          <w:sz w:val="24"/>
          <w:szCs w:val="24"/>
          <w:u w:val="single"/>
        </w:rPr>
        <w:t xml:space="preserve">www.contractstaffinghub.com</w:t>
      </w:r>
    </w:p>
    <w:p>
      <w:pPr>
        <w:spacing w:after="960"/>
        <w:jc w:val="center"/>
      </w:pPr>
      <w:r>
        <w:rPr>
          <w:color w:val="0563C1"/>
          <w:sz w:val="24"/>
          <w:szCs w:val="24"/>
          <w:u w:val="single"/>
        </w:rPr>
        <w:t xml:space="preserve">pyushverma@contractstaffinghub.com</w:t>
      </w:r>
    </w:p>
    <w:p>
      <w:pPr>
        <w:spacing w:before="1440"/>
        <w:jc w:val="center"/>
      </w:pPr>
      <w:r>
        <w:rPr>
          <w:i/>
          <w:iCs/>
          <w:sz w:val="20"/>
          <w:szCs w:val="20"/>
        </w:rPr>
        <w:t xml:space="preserve">© 2026 Jurist Zone Management Consultant</w:t>
      </w:r>
    </w:p>
    <w:p>
      <w:r>
        <w:br w:type="page"/>
      </w:r>
    </w:p>
    <w:p>
      <w:pPr>
        <w:pStyle w:val="Heading1"/>
      </w:pPr>
      <w:r>
        <w:t xml:space="preserve">Table of Contents</w:t>
      </w:r>
    </w:p>
    <w:p>
      <w:r>
        <w:t xml:space="preserve">1. Executive Summary</w:t>
      </w:r>
    </w:p>
    <w:p>
      <w:r>
        <w:t xml:space="preserve">2. Introduction to Salary Benchmarking</w:t>
      </w:r>
    </w:p>
    <w:p>
      <w:r>
        <w:t xml:space="preserve">3. Methodology and Data Sources</w:t>
      </w:r>
    </w:p>
    <w:p>
      <w:r>
        <w:t xml:space="preserve">4. Key Compensation Components</w:t>
      </w:r>
    </w:p>
    <w:p>
      <w:r>
        <w:t xml:space="preserve">5. Market Analysis Framework</w:t>
      </w:r>
    </w:p>
    <w:p>
      <w:r>
        <w:t xml:space="preserve">6. Salary Benchmarking Process</w:t>
      </w:r>
    </w:p>
    <w:p>
      <w:r>
        <w:t xml:space="preserve">7. Industry-Specific Considerations</w:t>
      </w:r>
    </w:p>
    <w:p>
      <w:r>
        <w:t xml:space="preserve">8. Best Practices and Recommendations</w:t>
      </w:r>
    </w:p>
    <w:p>
      <w:r>
        <w:t xml:space="preserve">9. Sample Salary Ranges by Function</w:t>
      </w:r>
    </w:p>
    <w:p>
      <w:pPr>
        <w:spacing w:after="240"/>
      </w:pPr>
      <w:r>
        <w:t xml:space="preserve">10. Conclusion and Next Steps</w:t>
      </w:r>
    </w:p>
    <w:p>
      <w:r>
        <w:br w:type="page"/>
      </w:r>
    </w:p>
    <w:p>
      <w:pPr>
        <w:pStyle w:val="Heading1"/>
      </w:pPr>
      <w:r>
        <w:t xml:space="preserve">1. Executive Summary</w:t>
      </w:r>
    </w:p>
    <w:p>
      <w:pPr>
        <w:spacing w:after="180"/>
      </w:pPr>
      <w:r>
        <w:t xml:space="preserve">Salary benchmarking is a critical strategic tool for organizations seeking to attract, retain, and motivate top talent while maintaining competitive positioning in the market. This comprehensive guide provides actionable insights and frameworks for conducting effective compensation analysis.</w:t>
      </w:r>
    </w:p>
    <w:p>
      <w:pPr>
        <w:pStyle w:val="Heading2"/>
      </w:pPr>
      <w:r>
        <w:t xml:space="preserve">Key Benefits of Salary Benchmarking</w:t>
      </w:r>
    </w:p>
    <w:p>
      <w:pPr>
        <w:pStyle w:val="ListParagraph"/>
        <w:numPr>
          <w:ilvl w:val="0"/>
          <w:numId w:val="2"/>
        </w:numPr>
      </w:pPr>
      <w:r>
        <w:t xml:space="preserve">Ensures competitive compensation packages that attract quality candidates</w:t>
      </w:r>
    </w:p>
    <w:p>
      <w:pPr>
        <w:pStyle w:val="ListParagraph"/>
        <w:numPr>
          <w:ilvl w:val="0"/>
          <w:numId w:val="2"/>
        </w:numPr>
      </w:pPr>
      <w:r>
        <w:t xml:space="preserve">Reduces employee turnover by maintaining market-aligned salaries</w:t>
      </w:r>
    </w:p>
    <w:p>
      <w:pPr>
        <w:pStyle w:val="ListParagraph"/>
        <w:numPr>
          <w:ilvl w:val="0"/>
          <w:numId w:val="2"/>
        </w:numPr>
      </w:pPr>
      <w:r>
        <w:t xml:space="preserve">Supports budget planning and cost management</w:t>
      </w:r>
    </w:p>
    <w:p>
      <w:pPr>
        <w:pStyle w:val="ListParagraph"/>
        <w:numPr>
          <w:ilvl w:val="0"/>
          <w:numId w:val="2"/>
        </w:numPr>
      </w:pPr>
      <w:r>
        <w:t xml:space="preserve">Promotes internal equity and transparent compensation practices</w:t>
      </w:r>
    </w:p>
    <w:p>
      <w:pPr>
        <w:pStyle w:val="ListParagraph"/>
        <w:numPr>
          <w:ilvl w:val="0"/>
          <w:numId w:val="2"/>
        </w:numPr>
        <w:spacing w:after="240"/>
      </w:pPr>
      <w:r>
        <w:t xml:space="preserve">Enhances employer brand and market reputation</w:t>
      </w:r>
    </w:p>
    <w:p>
      <w:r>
        <w:br w:type="page"/>
      </w:r>
    </w:p>
    <w:p>
      <w:pPr>
        <w:pStyle w:val="Heading1"/>
      </w:pPr>
      <w:r>
        <w:t xml:space="preserve">2. Introduction to Salary Benchmarking</w:t>
      </w:r>
    </w:p>
    <w:p>
      <w:pPr>
        <w:spacing w:after="180"/>
      </w:pPr>
      <w:r>
        <w:t xml:space="preserve">Salary benchmarking is the systematic process of comparing an organization's compensation structure against market rates for similar positions in comparable organizations. This practice enables informed decision-making regarding employee compensation and helps maintain competitive positioning in the talent market.</w:t>
      </w:r>
    </w:p>
    <w:p>
      <w:pPr>
        <w:pStyle w:val="Heading2"/>
      </w:pPr>
      <w:r>
        <w:t xml:space="preserve">What is Salary Benchmarking?</w:t>
      </w:r>
    </w:p>
    <w:p>
      <w:pPr>
        <w:spacing w:after="180"/>
      </w:pPr>
      <w:r>
        <w:t xml:space="preserve">Salary benchmarking involves gathering and analyzing compensation data from various sources to understand market rates for specific roles. The process considers multiple factors including job responsibilities, required skills, experience levels, geographic location, industry sector, and company size.</w:t>
      </w:r>
    </w:p>
    <w:p>
      <w:pPr>
        <w:pStyle w:val="Heading2"/>
      </w:pPr>
      <w:r>
        <w:t xml:space="preserve">Why is Benchmarking Essential?</w:t>
      </w:r>
    </w:p>
    <w:p>
      <w:pPr>
        <w:spacing w:after="120"/>
      </w:pPr>
      <w:r>
        <w:t xml:space="preserve">In today's competitive talent landscape, organizations must balance multiple objectives:</w:t>
      </w:r>
    </w:p>
    <w:p>
      <w:pPr>
        <w:pStyle w:val="ListParagraph"/>
        <w:numPr>
          <w:ilvl w:val="0"/>
          <w:numId w:val="2"/>
        </w:numPr>
      </w:pPr>
      <w:r>
        <w:rPr>
          <w:b/>
          <w:bCs/>
        </w:rPr>
        <w:t xml:space="preserve">Attracting Top Talent: </w:t>
      </w:r>
      <w:r>
        <w:t xml:space="preserve">Competitive salaries are essential for recruiting high-performing candidates</w:t>
      </w:r>
    </w:p>
    <w:p>
      <w:pPr>
        <w:pStyle w:val="ListParagraph"/>
        <w:numPr>
          <w:ilvl w:val="0"/>
          <w:numId w:val="2"/>
        </w:numPr>
      </w:pPr>
      <w:r>
        <w:rPr>
          <w:b/>
          <w:bCs/>
        </w:rPr>
        <w:t xml:space="preserve">Retaining Key Employees: </w:t>
      </w:r>
      <w:r>
        <w:t xml:space="preserve">Market-aligned compensation reduces voluntary turnover</w:t>
      </w:r>
    </w:p>
    <w:p>
      <w:pPr>
        <w:pStyle w:val="ListParagraph"/>
        <w:numPr>
          <w:ilvl w:val="0"/>
          <w:numId w:val="2"/>
        </w:numPr>
      </w:pPr>
      <w:r>
        <w:rPr>
          <w:b/>
          <w:bCs/>
        </w:rPr>
        <w:t xml:space="preserve">Managing Costs: </w:t>
      </w:r>
      <w:r>
        <w:t xml:space="preserve">Data-driven compensation prevents overpaying or underpaying employees</w:t>
      </w:r>
    </w:p>
    <w:p>
      <w:pPr>
        <w:pStyle w:val="ListParagraph"/>
        <w:numPr>
          <w:ilvl w:val="0"/>
          <w:numId w:val="2"/>
        </w:numPr>
      </w:pPr>
      <w:r>
        <w:rPr>
          <w:b/>
          <w:bCs/>
        </w:rPr>
        <w:t xml:space="preserve">Ensuring Equity: </w:t>
      </w:r>
      <w:r>
        <w:t xml:space="preserve">Benchmarking supports fair and consistent pay practices</w:t>
      </w:r>
    </w:p>
    <w:p>
      <w:pPr>
        <w:pStyle w:val="ListParagraph"/>
        <w:numPr>
          <w:ilvl w:val="0"/>
          <w:numId w:val="2"/>
        </w:numPr>
        <w:spacing w:after="240"/>
      </w:pPr>
      <w:r>
        <w:rPr>
          <w:b/>
          <w:bCs/>
        </w:rPr>
        <w:t xml:space="preserve">Legal Compliance: </w:t>
      </w:r>
      <w:r>
        <w:t xml:space="preserve">Transparent benchmarking helps meet pay equity regulations</w:t>
      </w:r>
    </w:p>
    <w:p>
      <w:r>
        <w:br w:type="page"/>
      </w:r>
    </w:p>
    <w:p>
      <w:pPr>
        <w:pStyle w:val="Heading1"/>
      </w:pPr>
      <w:r>
        <w:t xml:space="preserve">3. Methodology and Data Sources</w:t>
      </w:r>
    </w:p>
    <w:p>
      <w:pPr>
        <w:spacing w:after="180"/>
      </w:pPr>
      <w:r>
        <w:t xml:space="preserve">Effective salary benchmarking relies on comprehensive data collection from multiple reliable sources. The quality and relevance of your data directly impact the accuracy of your compensation decisions.</w:t>
      </w:r>
    </w:p>
    <w:p>
      <w:pPr>
        <w:pStyle w:val="Heading2"/>
      </w:pPr>
      <w:r>
        <w:t xml:space="preserve">Primary Data Sources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800"/>
        <w:gridCol w:w="3280"/>
        <w:gridCol w:w="3280"/>
      </w:tblGrid>
      <w:tr>
        <w:tc>
          <w:tcPr>
            <w:tcW w:type="dxa" w:w="2800"/>
            <w:tcBorders>
              <w:top w:val="single" w:color="CCCCCC" w:sz="1"/>
              <w:left w:val="single" w:color="CCCCCC" w:sz="1"/>
              <w:bottom w:val="single" w:color="CCCCCC" w:sz="1"/>
              <w:right w:val="single" w:color="CCCCCC" w:sz="1"/>
            </w:tcBorders>
            <w:shd w:fill="2E75B5" w:val="clear"/>
            <w:tcMar>
              <w:top w:type="dxa" w:w="120"/>
              <w:left w:type="dxa" w:w="120"/>
              <w:bottom w:type="dxa" w:w="120"/>
              <w:right w:type="dxa" w:w="120"/>
            </w:tcMar>
          </w:tcPr>
          <w:p>
            <w:pPr>
              <w:jc w:val="center"/>
            </w:pPr>
            <w:r>
              <w:rPr>
                <w:b/>
                <w:bCs/>
                <w:color w:val="FFFFFF"/>
              </w:rPr>
              <w:t xml:space="preserve">Data Source</w:t>
            </w:r>
          </w:p>
        </w:tc>
        <w:tc>
          <w:tcPr>
            <w:tcW w:type="dxa" w:w="3280"/>
            <w:tcBorders>
              <w:top w:val="single" w:color="CCCCCC" w:sz="1"/>
              <w:left w:val="single" w:color="CCCCCC" w:sz="1"/>
              <w:bottom w:val="single" w:color="CCCCCC" w:sz="1"/>
              <w:right w:val="single" w:color="CCCCCC" w:sz="1"/>
            </w:tcBorders>
            <w:shd w:fill="2E75B5" w:val="clear"/>
            <w:tcMar>
              <w:top w:type="dxa" w:w="120"/>
              <w:left w:type="dxa" w:w="120"/>
              <w:bottom w:type="dxa" w:w="120"/>
              <w:right w:type="dxa" w:w="120"/>
            </w:tcMar>
          </w:tcPr>
          <w:p>
            <w:pPr>
              <w:jc w:val="center"/>
            </w:pPr>
            <w:r>
              <w:rPr>
                <w:b/>
                <w:bCs/>
                <w:color w:val="FFFFFF"/>
              </w:rPr>
              <w:t xml:space="preserve">Advantages</w:t>
            </w:r>
          </w:p>
        </w:tc>
        <w:tc>
          <w:tcPr>
            <w:tcW w:type="dxa" w:w="3280"/>
            <w:tcBorders>
              <w:top w:val="single" w:color="CCCCCC" w:sz="1"/>
              <w:left w:val="single" w:color="CCCCCC" w:sz="1"/>
              <w:bottom w:val="single" w:color="CCCCCC" w:sz="1"/>
              <w:right w:val="single" w:color="CCCCCC" w:sz="1"/>
            </w:tcBorders>
            <w:shd w:fill="2E75B5" w:val="clear"/>
            <w:tcMar>
              <w:top w:type="dxa" w:w="120"/>
              <w:left w:type="dxa" w:w="120"/>
              <w:bottom w:type="dxa" w:w="120"/>
              <w:right w:type="dxa" w:w="120"/>
            </w:tcMar>
          </w:tcPr>
          <w:p>
            <w:pPr>
              <w:jc w:val="center"/>
            </w:pPr>
            <w:r>
              <w:rPr>
                <w:b/>
                <w:bCs/>
                <w:color w:val="FFFFFF"/>
              </w:rPr>
              <w:t xml:space="preserve">Considerations</w:t>
            </w:r>
          </w:p>
        </w:tc>
      </w:tr>
      <w:tr>
        <w:tc>
          <w:tcPr>
            <w:tcW w:type="dxa" w:w="280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rPr>
              <w:t xml:space="preserve">Salary Surveys</w:t>
            </w:r>
          </w:p>
        </w:tc>
        <w:tc>
          <w:tcPr>
            <w:tcW w:type="dxa" w:w="328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Industry-specific, comprehensive data, statistical analysis</w:t>
            </w:r>
          </w:p>
        </w:tc>
        <w:tc>
          <w:tcPr>
            <w:tcW w:type="dxa" w:w="328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May require subscription fees, data may be dated</w:t>
            </w:r>
          </w:p>
        </w:tc>
      </w:tr>
      <w:tr>
        <w:tc>
          <w:tcPr>
            <w:tcW w:type="dxa" w:w="280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rPr>
              <w:t xml:space="preserve">Job Boards</w:t>
            </w:r>
          </w:p>
        </w:tc>
        <w:tc>
          <w:tcPr>
            <w:tcW w:type="dxa" w:w="328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Real-time data, wide coverage, free access</w:t>
            </w:r>
          </w:p>
        </w:tc>
        <w:tc>
          <w:tcPr>
            <w:tcW w:type="dxa" w:w="328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Variable quality, self-reported, may include inflated ranges</w:t>
            </w:r>
          </w:p>
        </w:tc>
      </w:tr>
      <w:tr>
        <w:tc>
          <w:tcPr>
            <w:tcW w:type="dxa" w:w="280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rPr>
              <w:t xml:space="preserve">Government Data</w:t>
            </w:r>
          </w:p>
        </w:tc>
        <w:tc>
          <w:tcPr>
            <w:tcW w:type="dxa" w:w="328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Authoritative, publicly available, broad coverage</w:t>
            </w:r>
          </w:p>
        </w:tc>
        <w:tc>
          <w:tcPr>
            <w:tcW w:type="dxa" w:w="328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May lack specificity, updated annually</w:t>
            </w:r>
          </w:p>
        </w:tc>
      </w:tr>
      <w:tr>
        <w:tc>
          <w:tcPr>
            <w:tcW w:type="dxa" w:w="280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rPr>
              <w:t xml:space="preserve">Professional Networks</w:t>
            </w:r>
          </w:p>
        </w:tc>
        <w:tc>
          <w:tcPr>
            <w:tcW w:type="dxa" w:w="328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Current insights, peer validation, relationship-based</w:t>
            </w:r>
          </w:p>
        </w:tc>
        <w:tc>
          <w:tcPr>
            <w:tcW w:type="dxa" w:w="328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Informal, limited sample size, confidentiality concerns</w:t>
            </w:r>
          </w:p>
        </w:tc>
      </w:tr>
      <w:tr>
        <w:tc>
          <w:tcPr>
            <w:tcW w:type="dxa" w:w="280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rPr>
              <w:t xml:space="preserve">Recruiters</w:t>
            </w:r>
          </w:p>
        </w:tc>
        <w:tc>
          <w:tcPr>
            <w:tcW w:type="dxa" w:w="328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Market intelligence, real-time trends, specialized knowledge</w:t>
            </w:r>
          </w:p>
        </w:tc>
        <w:tc>
          <w:tcPr>
            <w:tcW w:type="dxa" w:w="328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Potential bias, limited transparency, relationship-dependent</w:t>
            </w:r>
          </w:p>
        </w:tc>
      </w:tr>
    </w:tbl>
    <w:p>
      <w:pPr>
        <w:spacing w:before="240" w:after="180"/>
      </w:pPr>
    </w:p>
    <w:p>
      <w:pPr>
        <w:pStyle w:val="Heading2"/>
      </w:pPr>
      <w:r>
        <w:t xml:space="preserve">Data Collection Best Practices</w:t>
      </w:r>
    </w:p>
    <w:p>
      <w:pPr>
        <w:pStyle w:val="ListParagraph"/>
        <w:numPr>
          <w:ilvl w:val="0"/>
          <w:numId w:val="3"/>
        </w:numPr>
      </w:pPr>
      <w:r>
        <w:rPr>
          <w:b/>
          <w:bCs/>
        </w:rPr>
        <w:t xml:space="preserve">Use Multiple Sources: </w:t>
      </w:r>
      <w:r>
        <w:t xml:space="preserve">Cross-reference data from at least three different sources</w:t>
      </w:r>
    </w:p>
    <w:p>
      <w:pPr>
        <w:pStyle w:val="ListParagraph"/>
        <w:numPr>
          <w:ilvl w:val="0"/>
          <w:numId w:val="3"/>
        </w:numPr>
      </w:pPr>
      <w:r>
        <w:rPr>
          <w:b/>
          <w:bCs/>
        </w:rPr>
        <w:t xml:space="preserve">Ensure Recency: </w:t>
      </w:r>
      <w:r>
        <w:t xml:space="preserve">Prioritize data from the past 12-18 months</w:t>
      </w:r>
    </w:p>
    <w:p>
      <w:pPr>
        <w:pStyle w:val="ListParagraph"/>
        <w:numPr>
          <w:ilvl w:val="0"/>
          <w:numId w:val="3"/>
        </w:numPr>
      </w:pPr>
      <w:r>
        <w:rPr>
          <w:b/>
          <w:bCs/>
        </w:rPr>
        <w:t xml:space="preserve">Match Job Descriptions: </w:t>
      </w:r>
      <w:r>
        <w:t xml:space="preserve">Compare roles with similar responsibilities, not just titles</w:t>
      </w:r>
    </w:p>
    <w:p>
      <w:pPr>
        <w:pStyle w:val="ListParagraph"/>
        <w:numPr>
          <w:ilvl w:val="0"/>
          <w:numId w:val="3"/>
        </w:numPr>
      </w:pPr>
      <w:r>
        <w:rPr>
          <w:b/>
          <w:bCs/>
        </w:rPr>
        <w:t xml:space="preserve">Consider Geography: </w:t>
      </w:r>
      <w:r>
        <w:t xml:space="preserve">Account for cost-of-living differences across locations</w:t>
      </w:r>
    </w:p>
    <w:p>
      <w:pPr>
        <w:pStyle w:val="ListParagraph"/>
        <w:numPr>
          <w:ilvl w:val="0"/>
          <w:numId w:val="3"/>
        </w:numPr>
        <w:spacing w:after="240"/>
      </w:pPr>
      <w:r>
        <w:rPr>
          <w:b/>
          <w:bCs/>
        </w:rPr>
        <w:t xml:space="preserve">Document Methodology: </w:t>
      </w:r>
      <w:r>
        <w:t xml:space="preserve">Maintain detailed records of data sources and collection methods</w:t>
      </w:r>
    </w:p>
    <w:p>
      <w:r>
        <w:br w:type="page"/>
      </w:r>
    </w:p>
    <w:p>
      <w:pPr>
        <w:pStyle w:val="Heading1"/>
      </w:pPr>
      <w:r>
        <w:t xml:space="preserve">4. Key Compensation Components</w:t>
      </w:r>
    </w:p>
    <w:p>
      <w:pPr>
        <w:spacing w:after="180"/>
      </w:pPr>
      <w:r>
        <w:t xml:space="preserve">Total compensation extends beyond base salary to include various forms of direct and indirect remuneration. Understanding all components is essential for accurate benchmarking.</w:t>
      </w:r>
    </w:p>
    <w:p>
      <w:pPr>
        <w:pStyle w:val="Heading2"/>
      </w:pPr>
      <w:r>
        <w:t xml:space="preserve">Components of Total Compensation</w:t>
      </w:r>
    </w:p>
    <w:p>
      <w:pPr>
        <w:pStyle w:val="Heading3"/>
      </w:pPr>
      <w:r>
        <w:t xml:space="preserve">1. Base Salary</w:t>
      </w:r>
    </w:p>
    <w:p>
      <w:pPr>
        <w:spacing w:after="120"/>
      </w:pPr>
      <w:r>
        <w:t xml:space="preserve">The fixed annual compensation paid to employees, typically the largest component of total compensation. Base salary is influenced by market rates, internal equity, individual performance, and budget constraints.</w:t>
      </w:r>
    </w:p>
    <w:p>
      <w:pPr>
        <w:pStyle w:val="Heading3"/>
      </w:pPr>
      <w:r>
        <w:t xml:space="preserve">2. Variable Pay</w:t>
      </w:r>
    </w:p>
    <w:p>
      <w:pPr>
        <w:pStyle w:val="ListParagraph"/>
        <w:numPr>
          <w:ilvl w:val="0"/>
          <w:numId w:val="2"/>
        </w:numPr>
      </w:pPr>
      <w:r>
        <w:rPr>
          <w:b/>
          <w:bCs/>
        </w:rPr>
        <w:t xml:space="preserve">Annual Bonuses: </w:t>
      </w:r>
      <w:r>
        <w:t xml:space="preserve">Performance-based payments (typically 10-30% of base salary)</w:t>
      </w:r>
    </w:p>
    <w:p>
      <w:pPr>
        <w:pStyle w:val="ListParagraph"/>
        <w:numPr>
          <w:ilvl w:val="0"/>
          <w:numId w:val="2"/>
        </w:numPr>
      </w:pPr>
      <w:r>
        <w:rPr>
          <w:b/>
          <w:bCs/>
        </w:rPr>
        <w:t xml:space="preserve">Commission: </w:t>
      </w:r>
      <w:r>
        <w:t xml:space="preserve">Sales-driven compensation (common in revenue-generating roles)</w:t>
      </w:r>
    </w:p>
    <w:p>
      <w:pPr>
        <w:pStyle w:val="ListParagraph"/>
        <w:numPr>
          <w:ilvl w:val="0"/>
          <w:numId w:val="2"/>
        </w:numPr>
        <w:spacing w:after="120"/>
      </w:pPr>
      <w:r>
        <w:rPr>
          <w:b/>
          <w:bCs/>
        </w:rPr>
        <w:t xml:space="preserve">Profit Sharing: </w:t>
      </w:r>
      <w:r>
        <w:t xml:space="preserve">Company performance-based distributions</w:t>
      </w:r>
    </w:p>
    <w:p>
      <w:pPr>
        <w:pStyle w:val="Heading3"/>
      </w:pPr>
      <w:r>
        <w:t xml:space="preserve">3. Equity Compensation</w:t>
      </w:r>
    </w:p>
    <w:p>
      <w:pPr>
        <w:pStyle w:val="ListParagraph"/>
        <w:numPr>
          <w:ilvl w:val="0"/>
          <w:numId w:val="2"/>
        </w:numPr>
      </w:pPr>
      <w:r>
        <w:t xml:space="preserve">Stock options (particularly common in startups and tech companies)</w:t>
      </w:r>
    </w:p>
    <w:p>
      <w:pPr>
        <w:pStyle w:val="ListParagraph"/>
        <w:numPr>
          <w:ilvl w:val="0"/>
          <w:numId w:val="2"/>
        </w:numPr>
      </w:pPr>
      <w:r>
        <w:t xml:space="preserve">Restricted Stock Units (RSUs)</w:t>
      </w:r>
    </w:p>
    <w:p>
      <w:pPr>
        <w:pStyle w:val="ListParagraph"/>
        <w:numPr>
          <w:ilvl w:val="0"/>
          <w:numId w:val="2"/>
        </w:numPr>
        <w:spacing w:after="120"/>
      </w:pPr>
      <w:r>
        <w:t xml:space="preserve">Employee Stock Purchase Plans (ESPPs)</w:t>
      </w:r>
    </w:p>
    <w:p>
      <w:pPr>
        <w:pStyle w:val="Heading3"/>
      </w:pPr>
      <w:r>
        <w:t xml:space="preserve">4. Benefits</w:t>
      </w:r>
    </w:p>
    <w:p>
      <w:pPr>
        <w:pStyle w:val="ListParagraph"/>
        <w:numPr>
          <w:ilvl w:val="0"/>
          <w:numId w:val="2"/>
        </w:numPr>
      </w:pPr>
      <w:r>
        <w:t xml:space="preserve">Health insurance (medical, dental, vision)</w:t>
      </w:r>
    </w:p>
    <w:p>
      <w:pPr>
        <w:pStyle w:val="ListParagraph"/>
        <w:numPr>
          <w:ilvl w:val="0"/>
          <w:numId w:val="2"/>
        </w:numPr>
      </w:pPr>
      <w:r>
        <w:t xml:space="preserve">Retirement plans (401k, pension, PF, gratuity)</w:t>
      </w:r>
    </w:p>
    <w:p>
      <w:pPr>
        <w:pStyle w:val="ListParagraph"/>
        <w:numPr>
          <w:ilvl w:val="0"/>
          <w:numId w:val="2"/>
        </w:numPr>
      </w:pPr>
      <w:r>
        <w:t xml:space="preserve">Life and disability insurance</w:t>
      </w:r>
    </w:p>
    <w:p>
      <w:pPr>
        <w:pStyle w:val="ListParagraph"/>
        <w:numPr>
          <w:ilvl w:val="0"/>
          <w:numId w:val="2"/>
        </w:numPr>
      </w:pPr>
      <w:r>
        <w:t xml:space="preserve">Paid time off (vacation, sick leave, holidays)</w:t>
      </w:r>
    </w:p>
    <w:p>
      <w:pPr>
        <w:pStyle w:val="ListParagraph"/>
        <w:numPr>
          <w:ilvl w:val="0"/>
          <w:numId w:val="2"/>
        </w:numPr>
        <w:spacing w:after="120"/>
      </w:pPr>
      <w:r>
        <w:t xml:space="preserve">Professional development and training budgets</w:t>
      </w:r>
    </w:p>
    <w:p>
      <w:pPr>
        <w:pStyle w:val="Heading3"/>
      </w:pPr>
      <w:r>
        <w:t xml:space="preserve">5. Perquisites (Perks)</w:t>
      </w:r>
    </w:p>
    <w:p>
      <w:pPr>
        <w:pStyle w:val="ListParagraph"/>
        <w:numPr>
          <w:ilvl w:val="0"/>
          <w:numId w:val="2"/>
        </w:numPr>
      </w:pPr>
      <w:r>
        <w:t xml:space="preserve">Flexible work arrangements and remote work options</w:t>
      </w:r>
    </w:p>
    <w:p>
      <w:pPr>
        <w:pStyle w:val="ListParagraph"/>
        <w:numPr>
          <w:ilvl w:val="0"/>
          <w:numId w:val="2"/>
        </w:numPr>
      </w:pPr>
      <w:r>
        <w:t xml:space="preserve">Company vehicles or transportation allowances</w:t>
      </w:r>
    </w:p>
    <w:p>
      <w:pPr>
        <w:pStyle w:val="ListParagraph"/>
        <w:numPr>
          <w:ilvl w:val="0"/>
          <w:numId w:val="2"/>
        </w:numPr>
      </w:pPr>
      <w:r>
        <w:t xml:space="preserve">Housing allowances or relocation assistance</w:t>
      </w:r>
    </w:p>
    <w:p>
      <w:pPr>
        <w:pStyle w:val="ListParagraph"/>
        <w:numPr>
          <w:ilvl w:val="0"/>
          <w:numId w:val="2"/>
        </w:numPr>
        <w:spacing w:after="240"/>
      </w:pPr>
      <w:r>
        <w:t xml:space="preserve">Wellness programs, gym memberships, and meal subsidies</w:t>
      </w:r>
    </w:p>
    <w:p>
      <w:r>
        <w:br w:type="page"/>
      </w:r>
    </w:p>
    <w:p>
      <w:pPr>
        <w:pStyle w:val="Heading1"/>
      </w:pPr>
      <w:r>
        <w:t xml:space="preserve">5. Market Analysis Framework</w:t>
      </w:r>
    </w:p>
    <w:p>
      <w:pPr>
        <w:spacing w:after="180"/>
      </w:pPr>
      <w:r>
        <w:t xml:space="preserve">A structured framework ensures consistent and comprehensive analysis of market compensation data. This systematic approach supports defensible compensation decisions.</w:t>
      </w:r>
    </w:p>
    <w:p>
      <w:pPr>
        <w:pStyle w:val="Heading2"/>
      </w:pPr>
      <w:r>
        <w:t xml:space="preserve">Key Analysis Dimensions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340"/>
        <w:gridCol w:w="7020"/>
      </w:tblGrid>
      <w:tr>
        <w:tc>
          <w:tcPr>
            <w:tcW w:type="dxa" w:w="2340"/>
            <w:tcBorders>
              <w:top w:val="single" w:color="CCCCCC" w:sz="1"/>
              <w:left w:val="single" w:color="CCCCCC" w:sz="1"/>
              <w:bottom w:val="single" w:color="CCCCCC" w:sz="1"/>
              <w:right w:val="single" w:color="CCCCCC" w:sz="1"/>
            </w:tcBorders>
            <w:shd w:fill="4472C4" w:val="clear"/>
            <w:tcMar>
              <w:top w:type="dxa" w:w="120"/>
              <w:left w:type="dxa" w:w="120"/>
              <w:bottom w:type="dxa" w:w="120"/>
              <w:right w:type="dxa" w:w="120"/>
            </w:tcMar>
          </w:tcPr>
          <w:p>
            <w:pPr>
              <w:jc w:val="center"/>
            </w:pPr>
            <w:r>
              <w:rPr>
                <w:b/>
                <w:bCs/>
                <w:color w:val="FFFFFF"/>
              </w:rPr>
              <w:t xml:space="preserve">Dimension</w:t>
            </w:r>
          </w:p>
        </w:tc>
        <w:tc>
          <w:tcPr>
            <w:tcW w:type="dxa" w:w="7020"/>
            <w:tcBorders>
              <w:top w:val="single" w:color="CCCCCC" w:sz="1"/>
              <w:left w:val="single" w:color="CCCCCC" w:sz="1"/>
              <w:bottom w:val="single" w:color="CCCCCC" w:sz="1"/>
              <w:right w:val="single" w:color="CCCCCC" w:sz="1"/>
            </w:tcBorders>
            <w:shd w:fill="4472C4" w:val="clear"/>
            <w:tcMar>
              <w:top w:type="dxa" w:w="120"/>
              <w:left w:type="dxa" w:w="120"/>
              <w:bottom w:type="dxa" w:w="120"/>
              <w:right w:type="dxa" w:w="120"/>
            </w:tcMar>
          </w:tcPr>
          <w:p>
            <w:pPr>
              <w:jc w:val="center"/>
            </w:pPr>
            <w:r>
              <w:rPr>
                <w:b/>
                <w:bCs/>
                <w:color w:val="FFFFFF"/>
              </w:rPr>
              <w:t xml:space="preserve">Key Considerations</w:t>
            </w:r>
          </w:p>
        </w:tc>
      </w:tr>
      <w:tr>
        <w:tc>
          <w:tcPr>
            <w:tcW w:type="dxa" w:w="234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rPr>
              <w:t xml:space="preserve">Industry Sector</w:t>
            </w:r>
          </w:p>
        </w:tc>
        <w:tc>
          <w:tcPr>
            <w:tcW w:type="dxa" w:w="70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Compare within your primary industry and adjacent sectors. Technology, finance, and healthcare typically offer higher compensation than retail or non-profit sectors.</w:t>
            </w:r>
          </w:p>
        </w:tc>
      </w:tr>
      <w:tr>
        <w:tc>
          <w:tcPr>
            <w:tcW w:type="dxa" w:w="234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rPr>
              <w:t xml:space="preserve">Company Size</w:t>
            </w:r>
          </w:p>
        </w:tc>
        <w:tc>
          <w:tcPr>
            <w:tcW w:type="dxa" w:w="70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Larger organizations (1000+ employees) generally pay 15-25% more than smaller companies for equivalent roles, though startups may offset with equity.</w:t>
            </w:r>
          </w:p>
        </w:tc>
      </w:tr>
      <w:tr>
        <w:tc>
          <w:tcPr>
            <w:tcW w:type="dxa" w:w="234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rPr>
              <w:t xml:space="preserve">Geography</w:t>
            </w:r>
          </w:p>
        </w:tc>
        <w:tc>
          <w:tcPr>
            <w:tcW w:type="dxa" w:w="70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Cost-of-living variations create significant salary differences. Metropolitan areas typically pay 20-40% more than regional locations for the same role.</w:t>
            </w:r>
          </w:p>
        </w:tc>
      </w:tr>
      <w:tr>
        <w:tc>
          <w:tcPr>
            <w:tcW w:type="dxa" w:w="234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rPr>
              <w:t xml:space="preserve">Job Level</w:t>
            </w:r>
          </w:p>
        </w:tc>
        <w:tc>
          <w:tcPr>
            <w:tcW w:type="dxa" w:w="70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Distinguish between entry-level, mid-level, senior, and executive positions. Scope of responsibility, decision-making authority, and team size impact compensation significantly.</w:t>
            </w:r>
          </w:p>
        </w:tc>
      </w:tr>
      <w:tr>
        <w:tc>
          <w:tcPr>
            <w:tcW w:type="dxa" w:w="234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rPr>
              <w:t xml:space="preserve">Experience</w:t>
            </w:r>
          </w:p>
        </w:tc>
        <w:tc>
          <w:tcPr>
            <w:tcW w:type="dxa" w:w="70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t xml:space="preserve">Years of relevant experience and specialized skills command premium compensation. Certifications and advanced degrees also influence salary levels.</w:t>
            </w:r>
          </w:p>
        </w:tc>
      </w:tr>
    </w:tbl>
    <w:p>
      <w:pPr>
        <w:spacing w:before="240" w:after="180"/>
      </w:pPr>
    </w:p>
    <w:p>
      <w:pPr>
        <w:pStyle w:val="Heading2"/>
      </w:pPr>
      <w:r>
        <w:t xml:space="preserve">Statistical Measures</w:t>
      </w:r>
    </w:p>
    <w:p>
      <w:pPr>
        <w:spacing w:after="120"/>
      </w:pPr>
      <w:r>
        <w:t xml:space="preserve">Use percentile rankings to understand market positioning:</w:t>
      </w:r>
    </w:p>
    <w:p>
      <w:pPr>
        <w:pStyle w:val="ListParagraph"/>
        <w:numPr>
          <w:ilvl w:val="0"/>
          <w:numId w:val="2"/>
        </w:numPr>
      </w:pPr>
      <w:r>
        <w:rPr>
          <w:b/>
          <w:bCs/>
        </w:rPr>
        <w:t xml:space="preserve">25th Percentile (P25): </w:t>
      </w:r>
      <w:r>
        <w:t xml:space="preserve">Entry point for role, typically below-market compensation</w:t>
      </w:r>
    </w:p>
    <w:p>
      <w:pPr>
        <w:pStyle w:val="ListParagraph"/>
        <w:numPr>
          <w:ilvl w:val="0"/>
          <w:numId w:val="2"/>
        </w:numPr>
      </w:pPr>
      <w:r>
        <w:rPr>
          <w:b/>
          <w:bCs/>
        </w:rPr>
        <w:t xml:space="preserve">50th Percentile (Median): </w:t>
      </w:r>
      <w:r>
        <w:t xml:space="preserve">Market midpoint, competitive baseline compensation</w:t>
      </w:r>
    </w:p>
    <w:p>
      <w:pPr>
        <w:pStyle w:val="ListParagraph"/>
        <w:numPr>
          <w:ilvl w:val="0"/>
          <w:numId w:val="2"/>
        </w:numPr>
      </w:pPr>
      <w:r>
        <w:rPr>
          <w:b/>
          <w:bCs/>
        </w:rPr>
        <w:t xml:space="preserve">75th Percentile (P75): </w:t>
      </w:r>
      <w:r>
        <w:t xml:space="preserve">Above-market compensation for high performers or scarce skills</w:t>
      </w:r>
    </w:p>
    <w:p>
      <w:pPr>
        <w:pStyle w:val="ListParagraph"/>
        <w:numPr>
          <w:ilvl w:val="0"/>
          <w:numId w:val="2"/>
        </w:numPr>
        <w:spacing w:after="240"/>
      </w:pPr>
      <w:r>
        <w:rPr>
          <w:b/>
          <w:bCs/>
        </w:rPr>
        <w:t xml:space="preserve">90th Percentile (P90): </w:t>
      </w:r>
      <w:r>
        <w:t xml:space="preserve">Premium compensation for critical roles or exceptional talent</w:t>
      </w:r>
    </w:p>
    <w:p>
      <w:r>
        <w:br w:type="page"/>
      </w:r>
    </w:p>
    <w:p>
      <w:pPr>
        <w:pStyle w:val="Heading1"/>
      </w:pPr>
      <w:r>
        <w:t xml:space="preserve">6. Salary Benchmarking Process</w:t>
      </w:r>
    </w:p>
    <w:p>
      <w:pPr>
        <w:spacing w:after="180"/>
      </w:pPr>
      <w:r>
        <w:t xml:space="preserve">Follow this structured 8-step process to conduct comprehensive salary benchmarking for your organization.</w:t>
      </w:r>
    </w:p>
    <w:p>
      <w:pPr>
        <w:pStyle w:val="Heading2"/>
      </w:pPr>
      <w:r>
        <w:t xml:space="preserve">Step 1: Define Scope and Objectives</w:t>
      </w:r>
    </w:p>
    <w:p>
      <w:pPr>
        <w:pStyle w:val="ListParagraph"/>
        <w:numPr>
          <w:ilvl w:val="0"/>
          <w:numId w:val="2"/>
        </w:numPr>
      </w:pPr>
      <w:r>
        <w:t xml:space="preserve">Identify which positions require benchmarking (all roles, specific departments, or critical positions)</w:t>
      </w:r>
    </w:p>
    <w:p>
      <w:pPr>
        <w:pStyle w:val="ListParagraph"/>
        <w:numPr>
          <w:ilvl w:val="0"/>
          <w:numId w:val="2"/>
        </w:numPr>
      </w:pPr>
      <w:r>
        <w:t xml:space="preserve">Determine the purpose (market adjustment, new role creation, retention analysis, budget planning)</w:t>
      </w:r>
    </w:p>
    <w:p>
      <w:pPr>
        <w:pStyle w:val="ListParagraph"/>
        <w:numPr>
          <w:ilvl w:val="0"/>
          <w:numId w:val="2"/>
        </w:numPr>
        <w:spacing w:after="180"/>
      </w:pPr>
      <w:r>
        <w:t xml:space="preserve">Establish timeline and resource allocation for the project</w:t>
      </w:r>
    </w:p>
    <w:p>
      <w:pPr>
        <w:pStyle w:val="Heading2"/>
      </w:pPr>
      <w:r>
        <w:t xml:space="preserve">Step 2: Prepare Job Descriptions</w:t>
      </w:r>
    </w:p>
    <w:p>
      <w:pPr>
        <w:pStyle w:val="ListParagraph"/>
        <w:numPr>
          <w:ilvl w:val="0"/>
          <w:numId w:val="2"/>
        </w:numPr>
      </w:pPr>
      <w:r>
        <w:t xml:space="preserve">Document comprehensive job descriptions including key responsibilities, required qualifications, and reporting relationships</w:t>
      </w:r>
    </w:p>
    <w:p>
      <w:pPr>
        <w:pStyle w:val="ListParagraph"/>
        <w:numPr>
          <w:ilvl w:val="0"/>
          <w:numId w:val="2"/>
        </w:numPr>
      </w:pPr>
      <w:r>
        <w:t xml:space="preserve">Identify core competencies and specialized skills for each role</w:t>
      </w:r>
    </w:p>
    <w:p>
      <w:pPr>
        <w:pStyle w:val="ListParagraph"/>
        <w:numPr>
          <w:ilvl w:val="0"/>
          <w:numId w:val="2"/>
        </w:numPr>
        <w:spacing w:after="180"/>
      </w:pPr>
      <w:r>
        <w:t xml:space="preserve">Ensure job descriptions are current and accurately reflect actual work performed</w:t>
      </w:r>
    </w:p>
    <w:p>
      <w:pPr>
        <w:pStyle w:val="Heading2"/>
      </w:pPr>
      <w:r>
        <w:t xml:space="preserve">Step 3: Identify Comparable Roles</w:t>
      </w:r>
    </w:p>
    <w:p>
      <w:pPr>
        <w:pStyle w:val="ListParagraph"/>
        <w:numPr>
          <w:ilvl w:val="0"/>
          <w:numId w:val="2"/>
        </w:numPr>
      </w:pPr>
      <w:r>
        <w:t xml:space="preserve">Match your positions with equivalent roles in the market based on responsibilities, not just titles</w:t>
      </w:r>
    </w:p>
    <w:p>
      <w:pPr>
        <w:pStyle w:val="ListParagraph"/>
        <w:numPr>
          <w:ilvl w:val="0"/>
          <w:numId w:val="2"/>
        </w:numPr>
      </w:pPr>
      <w:r>
        <w:t xml:space="preserve">Consider job level, scope of authority, and complexity of work</w:t>
      </w:r>
    </w:p>
    <w:p>
      <w:pPr>
        <w:pStyle w:val="ListParagraph"/>
        <w:numPr>
          <w:ilvl w:val="0"/>
          <w:numId w:val="2"/>
        </w:numPr>
        <w:spacing w:after="180"/>
      </w:pPr>
      <w:r>
        <w:t xml:space="preserve">Document matching criteria for transparency and consistency</w:t>
      </w:r>
    </w:p>
    <w:p>
      <w:pPr>
        <w:pStyle w:val="Heading2"/>
      </w:pPr>
      <w:r>
        <w:t xml:space="preserve">Step 4: Gather Market Data</w:t>
      </w:r>
    </w:p>
    <w:p>
      <w:pPr>
        <w:pStyle w:val="ListParagraph"/>
        <w:numPr>
          <w:ilvl w:val="0"/>
          <w:numId w:val="2"/>
        </w:numPr>
      </w:pPr>
      <w:r>
        <w:t xml:space="preserve">Collect salary information from multiple sources (salary surveys, job boards, government data, recruiters)</w:t>
      </w:r>
    </w:p>
    <w:p>
      <w:pPr>
        <w:pStyle w:val="ListParagraph"/>
        <w:numPr>
          <w:ilvl w:val="0"/>
          <w:numId w:val="2"/>
        </w:numPr>
      </w:pPr>
      <w:r>
        <w:t xml:space="preserve">Ensure data recency (ideally within 12 months)</w:t>
      </w:r>
    </w:p>
    <w:p>
      <w:pPr>
        <w:pStyle w:val="ListParagraph"/>
        <w:numPr>
          <w:ilvl w:val="0"/>
          <w:numId w:val="2"/>
        </w:numPr>
        <w:spacing w:after="180"/>
      </w:pPr>
      <w:r>
        <w:t xml:space="preserve">Document data sources, collection dates, and sample sizes</w:t>
      </w:r>
    </w:p>
    <w:p>
      <w:pPr>
        <w:pStyle w:val="Heading2"/>
      </w:pPr>
      <w:r>
        <w:t xml:space="preserve">Step 5: Analyze and Normalize Data</w:t>
      </w:r>
    </w:p>
    <w:p>
      <w:pPr>
        <w:pStyle w:val="ListParagraph"/>
        <w:numPr>
          <w:ilvl w:val="0"/>
          <w:numId w:val="2"/>
        </w:numPr>
      </w:pPr>
      <w:r>
        <w:t xml:space="preserve">Adjust for geographic differences using cost-of-living indices</w:t>
      </w:r>
    </w:p>
    <w:p>
      <w:pPr>
        <w:pStyle w:val="ListParagraph"/>
        <w:numPr>
          <w:ilvl w:val="0"/>
          <w:numId w:val="2"/>
        </w:numPr>
      </w:pPr>
      <w:r>
        <w:t xml:space="preserve">Account for company size and industry variations</w:t>
      </w:r>
    </w:p>
    <w:p>
      <w:pPr>
        <w:pStyle w:val="ListParagraph"/>
        <w:numPr>
          <w:ilvl w:val="0"/>
          <w:numId w:val="2"/>
        </w:numPr>
      </w:pPr>
      <w:r>
        <w:t xml:space="preserve">Calculate percentile distributions (25th, 50th, 75th, 90th)</w:t>
      </w:r>
    </w:p>
    <w:p>
      <w:pPr>
        <w:pStyle w:val="ListParagraph"/>
        <w:numPr>
          <w:ilvl w:val="0"/>
          <w:numId w:val="2"/>
        </w:numPr>
        <w:spacing w:after="180"/>
      </w:pPr>
      <w:r>
        <w:t xml:space="preserve">Remove outliers that may distort the analysis</w:t>
      </w:r>
    </w:p>
    <w:p>
      <w:pPr>
        <w:pStyle w:val="Heading2"/>
      </w:pPr>
      <w:r>
        <w:t xml:space="preserve">Step 6: Compare Internal vs. Market Data</w:t>
      </w:r>
    </w:p>
    <w:p>
      <w:pPr>
        <w:pStyle w:val="ListParagraph"/>
        <w:numPr>
          <w:ilvl w:val="0"/>
          <w:numId w:val="2"/>
        </w:numPr>
      </w:pPr>
      <w:r>
        <w:t xml:space="preserve">Plot current employee salaries against market benchmarks</w:t>
      </w:r>
    </w:p>
    <w:p>
      <w:pPr>
        <w:pStyle w:val="ListParagraph"/>
        <w:numPr>
          <w:ilvl w:val="0"/>
          <w:numId w:val="2"/>
        </w:numPr>
      </w:pPr>
      <w:r>
        <w:t xml:space="preserve">Identify positions that are significantly above or below market rates</w:t>
      </w:r>
    </w:p>
    <w:p>
      <w:pPr>
        <w:pStyle w:val="ListParagraph"/>
        <w:numPr>
          <w:ilvl w:val="0"/>
          <w:numId w:val="2"/>
        </w:numPr>
        <w:spacing w:after="180"/>
      </w:pPr>
      <w:r>
        <w:t xml:space="preserve">Assess internal equity to ensure fair compensation across similar roles</w:t>
      </w:r>
    </w:p>
    <w:p>
      <w:pPr>
        <w:pStyle w:val="Heading2"/>
      </w:pPr>
      <w:r>
        <w:t xml:space="preserve">Step 7: Develop Recommendations</w:t>
      </w:r>
    </w:p>
    <w:p>
      <w:pPr>
        <w:pStyle w:val="ListParagraph"/>
        <w:numPr>
          <w:ilvl w:val="0"/>
          <w:numId w:val="2"/>
        </w:numPr>
      </w:pPr>
      <w:r>
        <w:t xml:space="preserve">Propose salary adjustments for below-market positions</w:t>
      </w:r>
    </w:p>
    <w:p>
      <w:pPr>
        <w:pStyle w:val="ListParagraph"/>
        <w:numPr>
          <w:ilvl w:val="0"/>
          <w:numId w:val="2"/>
        </w:numPr>
      </w:pPr>
      <w:r>
        <w:t xml:space="preserve">Establish salary ranges for new positions</w:t>
      </w:r>
    </w:p>
    <w:p>
      <w:pPr>
        <w:pStyle w:val="ListParagraph"/>
        <w:numPr>
          <w:ilvl w:val="0"/>
          <w:numId w:val="2"/>
        </w:numPr>
      </w:pPr>
      <w:r>
        <w:t xml:space="preserve">Prioritize adjustments based on business impact and budget constraints</w:t>
      </w:r>
    </w:p>
    <w:p>
      <w:pPr>
        <w:pStyle w:val="ListParagraph"/>
        <w:numPr>
          <w:ilvl w:val="0"/>
          <w:numId w:val="2"/>
        </w:numPr>
        <w:spacing w:after="180"/>
      </w:pPr>
      <w:r>
        <w:t xml:space="preserve">Consider both immediate and phased implementation approaches</w:t>
      </w:r>
    </w:p>
    <w:p>
      <w:pPr>
        <w:pStyle w:val="Heading2"/>
      </w:pPr>
      <w:r>
        <w:t xml:space="preserve">Step 8: Implement and Monitor</w:t>
      </w:r>
    </w:p>
    <w:p>
      <w:pPr>
        <w:pStyle w:val="ListParagraph"/>
        <w:numPr>
          <w:ilvl w:val="0"/>
          <w:numId w:val="2"/>
        </w:numPr>
      </w:pPr>
      <w:r>
        <w:t xml:space="preserve">Communicate changes transparently to affected employees</w:t>
      </w:r>
    </w:p>
    <w:p>
      <w:pPr>
        <w:pStyle w:val="ListParagraph"/>
        <w:numPr>
          <w:ilvl w:val="0"/>
          <w:numId w:val="2"/>
        </w:numPr>
      </w:pPr>
      <w:r>
        <w:t xml:space="preserve">Implement approved salary adjustments according to plan</w:t>
      </w:r>
    </w:p>
    <w:p>
      <w:pPr>
        <w:pStyle w:val="ListParagraph"/>
        <w:numPr>
          <w:ilvl w:val="0"/>
          <w:numId w:val="2"/>
        </w:numPr>
      </w:pPr>
      <w:r>
        <w:t xml:space="preserve">Schedule regular reviews (annually or bi-annually) to maintain market alignment</w:t>
      </w:r>
    </w:p>
    <w:p>
      <w:pPr>
        <w:pStyle w:val="ListParagraph"/>
        <w:numPr>
          <w:ilvl w:val="0"/>
          <w:numId w:val="2"/>
        </w:numPr>
        <w:spacing w:after="240"/>
      </w:pPr>
      <w:r>
        <w:t xml:space="preserve">Track retention rates and recruitment success to measure effectiveness</w:t>
      </w:r>
    </w:p>
    <w:p>
      <w:r>
        <w:br w:type="page"/>
      </w:r>
    </w:p>
    <w:p>
      <w:pPr>
        <w:pStyle w:val="Heading1"/>
      </w:pPr>
      <w:r>
        <w:t xml:space="preserve">7. Industry-Specific Considerations</w:t>
      </w:r>
    </w:p>
    <w:p>
      <w:pPr>
        <w:spacing w:after="180"/>
      </w:pPr>
      <w:r>
        <w:t xml:space="preserve">Different industries have unique compensation structures and market dynamics. Understanding these nuances ensures more accurate benchmarking.</w:t>
      </w:r>
    </w:p>
    <w:p>
      <w:pPr>
        <w:pStyle w:val="Heading2"/>
      </w:pPr>
      <w:r>
        <w:t xml:space="preserve">Technology Sector</w:t>
      </w:r>
    </w:p>
    <w:p>
      <w:pPr>
        <w:pStyle w:val="ListParagraph"/>
        <w:numPr>
          <w:ilvl w:val="0"/>
          <w:numId w:val="2"/>
        </w:numPr>
      </w:pPr>
      <w:r>
        <w:rPr>
          <w:b/>
          <w:bCs/>
        </w:rPr>
        <w:t xml:space="preserve">High base salaries: </w:t>
      </w:r>
      <w:r>
        <w:t xml:space="preserve">Competitive base compensation, often 20-30% above other sectors</w:t>
      </w:r>
    </w:p>
    <w:p>
      <w:pPr>
        <w:pStyle w:val="ListParagraph"/>
        <w:numPr>
          <w:ilvl w:val="0"/>
          <w:numId w:val="2"/>
        </w:numPr>
      </w:pPr>
      <w:r>
        <w:rPr>
          <w:b/>
          <w:bCs/>
        </w:rPr>
        <w:t xml:space="preserve">Significant equity: </w:t>
      </w:r>
      <w:r>
        <w:t xml:space="preserve">Stock options and RSUs are standard, particularly at startups and public companies</w:t>
      </w:r>
    </w:p>
    <w:p>
      <w:pPr>
        <w:pStyle w:val="ListParagraph"/>
        <w:numPr>
          <w:ilvl w:val="0"/>
          <w:numId w:val="2"/>
        </w:numPr>
        <w:spacing w:after="180"/>
      </w:pPr>
      <w:r>
        <w:rPr>
          <w:b/>
          <w:bCs/>
        </w:rPr>
        <w:t xml:space="preserve">Specialized skills premium: </w:t>
      </w:r>
      <w:r>
        <w:t xml:space="preserve">AI/ML, cybersecurity, and cloud computing roles command 30-50% premium</w:t>
      </w:r>
    </w:p>
    <w:p>
      <w:pPr>
        <w:pStyle w:val="Heading2"/>
      </w:pPr>
      <w:r>
        <w:t xml:space="preserve">Financial Services</w:t>
      </w:r>
    </w:p>
    <w:p>
      <w:pPr>
        <w:pStyle w:val="ListParagraph"/>
        <w:numPr>
          <w:ilvl w:val="0"/>
          <w:numId w:val="2"/>
        </w:numPr>
      </w:pPr>
      <w:r>
        <w:rPr>
          <w:b/>
          <w:bCs/>
        </w:rPr>
        <w:t xml:space="preserve">Performance bonuses: </w:t>
      </w:r>
      <w:r>
        <w:t xml:space="preserve">Variable compensation often equals or exceeds base salary</w:t>
      </w:r>
    </w:p>
    <w:p>
      <w:pPr>
        <w:pStyle w:val="ListParagraph"/>
        <w:numPr>
          <w:ilvl w:val="0"/>
          <w:numId w:val="2"/>
        </w:numPr>
      </w:pPr>
      <w:r>
        <w:rPr>
          <w:b/>
          <w:bCs/>
        </w:rPr>
        <w:t xml:space="preserve">Regulatory impact: </w:t>
      </w:r>
      <w:r>
        <w:t xml:space="preserve">Compliance and risk management roles increasingly valued</w:t>
      </w:r>
    </w:p>
    <w:p>
      <w:pPr>
        <w:pStyle w:val="ListParagraph"/>
        <w:numPr>
          <w:ilvl w:val="0"/>
          <w:numId w:val="2"/>
        </w:numPr>
        <w:spacing w:after="180"/>
      </w:pPr>
      <w:r>
        <w:rPr>
          <w:b/>
          <w:bCs/>
        </w:rPr>
        <w:t xml:space="preserve">Geographic concentration: </w:t>
      </w:r>
      <w:r>
        <w:t xml:space="preserve">Major financial centers (NYC, London, Hong Kong) pay significant premiums</w:t>
      </w:r>
    </w:p>
    <w:p>
      <w:pPr>
        <w:pStyle w:val="Heading2"/>
      </w:pPr>
      <w:r>
        <w:t xml:space="preserve">Healthcare</w:t>
      </w:r>
    </w:p>
    <w:p>
      <w:pPr>
        <w:pStyle w:val="ListParagraph"/>
        <w:numPr>
          <w:ilvl w:val="0"/>
          <w:numId w:val="2"/>
        </w:numPr>
      </w:pPr>
      <w:r>
        <w:rPr>
          <w:b/>
          <w:bCs/>
        </w:rPr>
        <w:t xml:space="preserve">Credentialing premium: </w:t>
      </w:r>
      <w:r>
        <w:t xml:space="preserve">Licensed professionals command higher compensation</w:t>
      </w:r>
    </w:p>
    <w:p>
      <w:pPr>
        <w:pStyle w:val="ListParagraph"/>
        <w:numPr>
          <w:ilvl w:val="0"/>
          <w:numId w:val="2"/>
        </w:numPr>
      </w:pPr>
      <w:r>
        <w:rPr>
          <w:b/>
          <w:bCs/>
        </w:rPr>
        <w:t xml:space="preserve">Shift differentials: </w:t>
      </w:r>
      <w:r>
        <w:t xml:space="preserve">Night, weekend, and holiday premiums are standard</w:t>
      </w:r>
    </w:p>
    <w:p>
      <w:pPr>
        <w:pStyle w:val="ListParagraph"/>
        <w:numPr>
          <w:ilvl w:val="0"/>
          <w:numId w:val="2"/>
        </w:numPr>
        <w:spacing w:after="180"/>
      </w:pPr>
      <w:r>
        <w:rPr>
          <w:b/>
          <w:bCs/>
        </w:rPr>
        <w:t xml:space="preserve">Talent shortages: </w:t>
      </w:r>
      <w:r>
        <w:t xml:space="preserve">Specialized clinical roles face ongoing shortages, driving up compensation</w:t>
      </w:r>
    </w:p>
    <w:p>
      <w:pPr>
        <w:pStyle w:val="Heading2"/>
      </w:pPr>
      <w:r>
        <w:t xml:space="preserve">Manufacturing and Operations</w:t>
      </w:r>
    </w:p>
    <w:p>
      <w:pPr>
        <w:pStyle w:val="ListParagraph"/>
        <w:numPr>
          <w:ilvl w:val="0"/>
          <w:numId w:val="2"/>
        </w:numPr>
      </w:pPr>
      <w:r>
        <w:rPr>
          <w:b/>
          <w:bCs/>
        </w:rPr>
        <w:t xml:space="preserve">Skill-based pay: </w:t>
      </w:r>
      <w:r>
        <w:t xml:space="preserve">Technical certifications and specialized equipment training increase compensation</w:t>
      </w:r>
    </w:p>
    <w:p>
      <w:pPr>
        <w:pStyle w:val="ListParagraph"/>
        <w:numPr>
          <w:ilvl w:val="0"/>
          <w:numId w:val="2"/>
        </w:numPr>
      </w:pPr>
      <w:r>
        <w:rPr>
          <w:b/>
          <w:bCs/>
        </w:rPr>
        <w:t xml:space="preserve">Union influence: </w:t>
      </w:r>
      <w:r>
        <w:t xml:space="preserve">Collective bargaining agreements standardize compensation structures</w:t>
      </w:r>
    </w:p>
    <w:p>
      <w:pPr>
        <w:pStyle w:val="ListParagraph"/>
        <w:numPr>
          <w:ilvl w:val="0"/>
          <w:numId w:val="2"/>
        </w:numPr>
        <w:spacing w:after="180"/>
      </w:pPr>
      <w:r>
        <w:rPr>
          <w:b/>
          <w:bCs/>
        </w:rPr>
        <w:t xml:space="preserve">Safety and hazard pay: </w:t>
      </w:r>
      <w:r>
        <w:t xml:space="preserve">Dangerous or physically demanding roles receive premium compensation</w:t>
      </w:r>
    </w:p>
    <w:p>
      <w:pPr>
        <w:pStyle w:val="Heading2"/>
      </w:pPr>
      <w:r>
        <w:t xml:space="preserve">Retail and Hospitality</w:t>
      </w:r>
    </w:p>
    <w:p>
      <w:pPr>
        <w:pStyle w:val="ListParagraph"/>
        <w:numPr>
          <w:ilvl w:val="0"/>
          <w:numId w:val="2"/>
        </w:numPr>
      </w:pPr>
      <w:r>
        <w:rPr>
          <w:b/>
          <w:bCs/>
        </w:rPr>
        <w:t xml:space="preserve">High turnover impact: </w:t>
      </w:r>
      <w:r>
        <w:t xml:space="preserve">Competitive entry-level wages critical for retention</w:t>
      </w:r>
    </w:p>
    <w:p>
      <w:pPr>
        <w:pStyle w:val="ListParagraph"/>
        <w:numPr>
          <w:ilvl w:val="0"/>
          <w:numId w:val="2"/>
        </w:numPr>
      </w:pPr>
      <w:r>
        <w:rPr>
          <w:b/>
          <w:bCs/>
        </w:rPr>
        <w:t xml:space="preserve">Commission structures: </w:t>
      </w:r>
      <w:r>
        <w:t xml:space="preserve">Sales roles heavily weighted toward variable compensation</w:t>
      </w:r>
    </w:p>
    <w:p>
      <w:pPr>
        <w:pStyle w:val="ListParagraph"/>
        <w:numPr>
          <w:ilvl w:val="0"/>
          <w:numId w:val="2"/>
        </w:numPr>
        <w:spacing w:after="240"/>
      </w:pPr>
      <w:r>
        <w:rPr>
          <w:b/>
          <w:bCs/>
        </w:rPr>
        <w:t xml:space="preserve">Minimum wage pressures: </w:t>
      </w:r>
      <w:r>
        <w:t xml:space="preserve">Legislative changes significantly impact compensation budgets</w:t>
      </w:r>
    </w:p>
    <w:p>
      <w:r>
        <w:br w:type="page"/>
      </w:r>
    </w:p>
    <w:p>
      <w:pPr>
        <w:pStyle w:val="Heading1"/>
      </w:pPr>
      <w:r>
        <w:t xml:space="preserve">8. Best Practices and Recommendations</w:t>
      </w:r>
    </w:p>
    <w:p>
      <w:pPr>
        <w:spacing w:after="180"/>
      </w:pPr>
      <w:r>
        <w:t xml:space="preserve">Implementing these best practices will maximize the effectiveness of your salary benchmarking efforts and support strategic talent management.</w:t>
      </w:r>
    </w:p>
    <w:p>
      <w:pPr>
        <w:pStyle w:val="Heading2"/>
      </w:pPr>
      <w:r>
        <w:t xml:space="preserve">Strategic Recommendations</w:t>
      </w:r>
    </w:p>
    <w:p>
      <w:pPr>
        <w:pStyle w:val="Heading3"/>
      </w:pPr>
      <w:r>
        <w:t xml:space="preserve">1. Conduct Regular Reviews</w:t>
      </w:r>
    </w:p>
    <w:p>
      <w:pPr>
        <w:spacing w:after="120"/>
      </w:pPr>
      <w:r>
        <w:t xml:space="preserve">Market conditions change rapidly. Conduct comprehensive benchmarking annually, with quarterly spot-checks for critical or high-turnover roles. This proactive approach prevents compensation drift and maintains competitive positioning.</w:t>
      </w:r>
    </w:p>
    <w:p>
      <w:pPr>
        <w:pStyle w:val="Heading3"/>
      </w:pPr>
      <w:r>
        <w:t xml:space="preserve">2. Establish Salary Ranges</w:t>
      </w:r>
    </w:p>
    <w:p>
      <w:pPr>
        <w:spacing w:after="120"/>
      </w:pPr>
      <w:r>
        <w:t xml:space="preserve">Create ranges rather than fixed salaries to accommodate experience differences, performance levels, and internal equity. A typical range spans 40-50% from minimum to maximum, allowing for growth without requiring promotion.</w:t>
      </w:r>
    </w:p>
    <w:p>
      <w:pPr>
        <w:pStyle w:val="Heading3"/>
      </w:pPr>
      <w:r>
        <w:t xml:space="preserve">3. Document Your Methodology</w:t>
      </w:r>
    </w:p>
    <w:p>
      <w:pPr>
        <w:spacing w:after="120"/>
      </w:pPr>
      <w:r>
        <w:t xml:space="preserve">Maintain detailed records of data sources, matching decisions, and adjustment rationale. Documentation supports transparency, ensures consistency, and facilitates audits or compliance reviews.</w:t>
      </w:r>
    </w:p>
    <w:p>
      <w:pPr>
        <w:pStyle w:val="Heading3"/>
      </w:pPr>
      <w:r>
        <w:t xml:space="preserve">4. Balance Market Data with Internal Factors</w:t>
      </w:r>
    </w:p>
    <w:p>
      <w:pPr>
        <w:spacing w:after="120"/>
      </w:pPr>
      <w:r>
        <w:t xml:space="preserve">Market rates provide important context, but also consider internal equity, individual performance, organizational culture, and budget realities. The goal is sustainable, fair compensation aligned with business objectives.</w:t>
      </w:r>
    </w:p>
    <w:p>
      <w:pPr>
        <w:pStyle w:val="Heading3"/>
      </w:pPr>
      <w:r>
        <w:t xml:space="preserve">5. Communicate Transparently</w:t>
      </w:r>
    </w:p>
    <w:p>
      <w:pPr>
        <w:spacing w:after="120"/>
      </w:pPr>
      <w:r>
        <w:t xml:space="preserve">Share your compensation philosophy and benchmarking approach with employees. Transparency builds trust and helps employees understand how pay decisions are made. Consider publishing salary ranges for open positions.</w:t>
      </w:r>
    </w:p>
    <w:p>
      <w:pPr>
        <w:pStyle w:val="Heading3"/>
      </w:pPr>
      <w:r>
        <w:t xml:space="preserve">6. Consider Total Rewards</w:t>
      </w:r>
    </w:p>
    <w:p>
      <w:pPr>
        <w:spacing w:after="120"/>
      </w:pPr>
      <w:r>
        <w:t xml:space="preserve">Base salary is important, but employees value comprehensive benefits, work-life balance, development opportunities, and company culture. Benchmark total compensation, not just cash.</w:t>
      </w:r>
    </w:p>
    <w:p>
      <w:pPr>
        <w:pStyle w:val="Heading3"/>
      </w:pPr>
      <w:r>
        <w:t xml:space="preserve">7. Address Pay Equity</w:t>
      </w:r>
    </w:p>
    <w:p>
      <w:pPr>
        <w:spacing w:after="120"/>
      </w:pPr>
      <w:r>
        <w:t xml:space="preserve">Analyze compensation data for potential disparities based on gender, ethnicity, or other protected characteristics. Proactive equity analysis mitigates legal risk and demonstrates organizational values.</w:t>
      </w:r>
    </w:p>
    <w:p>
      <w:pPr>
        <w:pStyle w:val="Heading2"/>
      </w:pPr>
      <w:r>
        <w:t xml:space="preserve">Common Pitfalls to Avoid</w:t>
      </w:r>
    </w:p>
    <w:p>
      <w:pPr>
        <w:pStyle w:val="ListParagraph"/>
        <w:numPr>
          <w:ilvl w:val="0"/>
          <w:numId w:val="2"/>
        </w:numPr>
      </w:pPr>
      <w:r>
        <w:rPr>
          <w:b/>
          <w:bCs/>
        </w:rPr>
        <w:t xml:space="preserve">Relying on outdated data: </w:t>
      </w:r>
      <w:r>
        <w:t xml:space="preserve">Using compensation data older than 18 months reduces accuracy</w:t>
      </w:r>
    </w:p>
    <w:p>
      <w:pPr>
        <w:pStyle w:val="ListParagraph"/>
        <w:numPr>
          <w:ilvl w:val="0"/>
          <w:numId w:val="2"/>
        </w:numPr>
      </w:pPr>
      <w:r>
        <w:rPr>
          <w:b/>
          <w:bCs/>
        </w:rPr>
        <w:t xml:space="preserve">Matching by title only: </w:t>
      </w:r>
      <w:r>
        <w:t xml:space="preserve">Job responsibilities matter more than titles</w:t>
      </w:r>
    </w:p>
    <w:p>
      <w:pPr>
        <w:pStyle w:val="ListParagraph"/>
        <w:numPr>
          <w:ilvl w:val="0"/>
          <w:numId w:val="2"/>
        </w:numPr>
      </w:pPr>
      <w:r>
        <w:rPr>
          <w:b/>
          <w:bCs/>
        </w:rPr>
        <w:t xml:space="preserve">Ignoring geography: </w:t>
      </w:r>
      <w:r>
        <w:t xml:space="preserve">Cost-of-living differences create substantial salary variations</w:t>
      </w:r>
    </w:p>
    <w:p>
      <w:pPr>
        <w:pStyle w:val="ListParagraph"/>
        <w:numPr>
          <w:ilvl w:val="0"/>
          <w:numId w:val="2"/>
        </w:numPr>
      </w:pPr>
      <w:r>
        <w:rPr>
          <w:b/>
          <w:bCs/>
        </w:rPr>
        <w:t xml:space="preserve">Using only one data source: </w:t>
      </w:r>
      <w:r>
        <w:t xml:space="preserve">Cross-reference multiple sources for reliability</w:t>
      </w:r>
    </w:p>
    <w:p>
      <w:pPr>
        <w:pStyle w:val="ListParagraph"/>
        <w:numPr>
          <w:ilvl w:val="0"/>
          <w:numId w:val="2"/>
        </w:numPr>
        <w:spacing w:after="240"/>
      </w:pPr>
      <w:r>
        <w:rPr>
          <w:b/>
          <w:bCs/>
        </w:rPr>
        <w:t xml:space="preserve">Reactive rather than proactive: </w:t>
      </w:r>
      <w:r>
        <w:t xml:space="preserve">Address compensation issues before losing key talent</w:t>
      </w:r>
    </w:p>
    <w:p>
      <w:r>
        <w:br w:type="page"/>
      </w:r>
    </w:p>
    <w:p>
      <w:pPr>
        <w:pStyle w:val="Heading1"/>
      </w:pPr>
      <w:r>
        <w:t xml:space="preserve">9. Sample Salary Ranges by Function</w:t>
      </w:r>
    </w:p>
    <w:p>
      <w:pPr>
        <w:spacing w:after="180"/>
      </w:pPr>
      <w:r>
        <w:rPr>
          <w:i/>
          <w:iCs/>
        </w:rPr>
        <w:t xml:space="preserve">The following tables provide representative salary ranges for common roles across various functions. These are indicative ranges for metropolitan markets in developed economies and should be adjusted for your specific location and industry.</w:t>
      </w:r>
    </w:p>
    <w:p>
      <w:pPr>
        <w:pStyle w:val="Heading2"/>
      </w:pPr>
      <w:r>
        <w:t xml:space="preserve">Technology and Engineering</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800"/>
        <w:gridCol w:w="1870"/>
        <w:gridCol w:w="1870"/>
        <w:gridCol w:w="1870"/>
        <w:gridCol w:w="950"/>
      </w:tblGrid>
      <w:tr>
        <w:tc>
          <w:tcPr>
            <w:tcW w:type="dxa" w:w="2800"/>
            <w:tcBorders>
              <w:top w:val="single" w:color="CCCCCC" w:sz="1"/>
              <w:left w:val="single" w:color="CCCCCC" w:sz="1"/>
              <w:bottom w:val="single" w:color="CCCCCC" w:sz="1"/>
              <w:right w:val="single" w:color="CCCCCC" w:sz="1"/>
            </w:tcBorders>
            <w:shd w:fill="2E75B5" w:val="clear"/>
            <w:tcMar>
              <w:top w:type="dxa" w:w="100"/>
              <w:left w:type="dxa" w:w="100"/>
              <w:bottom w:type="dxa" w:w="100"/>
              <w:right w:type="dxa" w:w="100"/>
            </w:tcMar>
          </w:tcPr>
          <w:p>
            <w:pPr>
              <w:jc w:val="center"/>
            </w:pPr>
            <w:r>
              <w:rPr>
                <w:b/>
                <w:bCs/>
                <w:color w:val="FFFFFF"/>
                <w:sz w:val="20"/>
                <w:szCs w:val="20"/>
              </w:rPr>
              <w:t xml:space="preserve">Position</w:t>
            </w:r>
          </w:p>
        </w:tc>
        <w:tc>
          <w:tcPr>
            <w:tcW w:type="dxa" w:w="1870"/>
            <w:tcBorders>
              <w:top w:val="single" w:color="CCCCCC" w:sz="1"/>
              <w:left w:val="single" w:color="CCCCCC" w:sz="1"/>
              <w:bottom w:val="single" w:color="CCCCCC" w:sz="1"/>
              <w:right w:val="single" w:color="CCCCCC" w:sz="1"/>
            </w:tcBorders>
            <w:shd w:fill="2E75B5" w:val="clear"/>
            <w:tcMar>
              <w:top w:type="dxa" w:w="100"/>
              <w:left w:type="dxa" w:w="100"/>
              <w:bottom w:type="dxa" w:w="100"/>
              <w:right w:type="dxa" w:w="100"/>
            </w:tcMar>
          </w:tcPr>
          <w:p>
            <w:pPr>
              <w:jc w:val="center"/>
            </w:pPr>
            <w:r>
              <w:rPr>
                <w:b/>
                <w:bCs/>
                <w:color w:val="FFFFFF"/>
                <w:sz w:val="20"/>
                <w:szCs w:val="20"/>
              </w:rPr>
              <w:t xml:space="preserve">P25</w:t>
            </w:r>
          </w:p>
        </w:tc>
        <w:tc>
          <w:tcPr>
            <w:tcW w:type="dxa" w:w="1870"/>
            <w:tcBorders>
              <w:top w:val="single" w:color="CCCCCC" w:sz="1"/>
              <w:left w:val="single" w:color="CCCCCC" w:sz="1"/>
              <w:bottom w:val="single" w:color="CCCCCC" w:sz="1"/>
              <w:right w:val="single" w:color="CCCCCC" w:sz="1"/>
            </w:tcBorders>
            <w:shd w:fill="2E75B5" w:val="clear"/>
            <w:tcMar>
              <w:top w:type="dxa" w:w="100"/>
              <w:left w:type="dxa" w:w="100"/>
              <w:bottom w:type="dxa" w:w="100"/>
              <w:right w:type="dxa" w:w="100"/>
            </w:tcMar>
          </w:tcPr>
          <w:p>
            <w:pPr>
              <w:jc w:val="center"/>
            </w:pPr>
            <w:r>
              <w:rPr>
                <w:b/>
                <w:bCs/>
                <w:color w:val="FFFFFF"/>
                <w:sz w:val="20"/>
                <w:szCs w:val="20"/>
              </w:rPr>
              <w:t xml:space="preserve">Median</w:t>
            </w:r>
          </w:p>
        </w:tc>
        <w:tc>
          <w:tcPr>
            <w:tcW w:type="dxa" w:w="1870"/>
            <w:tcBorders>
              <w:top w:val="single" w:color="CCCCCC" w:sz="1"/>
              <w:left w:val="single" w:color="CCCCCC" w:sz="1"/>
              <w:bottom w:val="single" w:color="CCCCCC" w:sz="1"/>
              <w:right w:val="single" w:color="CCCCCC" w:sz="1"/>
            </w:tcBorders>
            <w:shd w:fill="2E75B5" w:val="clear"/>
            <w:tcMar>
              <w:top w:type="dxa" w:w="100"/>
              <w:left w:type="dxa" w:w="100"/>
              <w:bottom w:type="dxa" w:w="100"/>
              <w:right w:type="dxa" w:w="100"/>
            </w:tcMar>
          </w:tcPr>
          <w:p>
            <w:pPr>
              <w:jc w:val="center"/>
            </w:pPr>
            <w:r>
              <w:rPr>
                <w:b/>
                <w:bCs/>
                <w:color w:val="FFFFFF"/>
                <w:sz w:val="20"/>
                <w:szCs w:val="20"/>
              </w:rPr>
              <w:t xml:space="preserve">P75</w:t>
            </w:r>
          </w:p>
        </w:tc>
        <w:tc>
          <w:tcPr>
            <w:tcW w:type="dxa" w:w="950"/>
            <w:tcBorders>
              <w:top w:val="single" w:color="CCCCCC" w:sz="1"/>
              <w:left w:val="single" w:color="CCCCCC" w:sz="1"/>
              <w:bottom w:val="single" w:color="CCCCCC" w:sz="1"/>
              <w:right w:val="single" w:color="CCCCCC" w:sz="1"/>
            </w:tcBorders>
            <w:shd w:fill="2E75B5" w:val="clear"/>
            <w:tcMar>
              <w:top w:type="dxa" w:w="100"/>
              <w:left w:type="dxa" w:w="100"/>
              <w:bottom w:type="dxa" w:w="100"/>
              <w:right w:type="dxa" w:w="100"/>
            </w:tcMar>
          </w:tcPr>
          <w:p>
            <w:pPr>
              <w:jc w:val="center"/>
            </w:pPr>
            <w:r>
              <w:rPr>
                <w:b/>
                <w:bCs/>
                <w:color w:val="FFFFFF"/>
                <w:sz w:val="20"/>
                <w:szCs w:val="20"/>
              </w:rPr>
              <w:t xml:space="preserve">Exp</w:t>
            </w:r>
          </w:p>
        </w:tc>
      </w:tr>
      <w:tr>
        <w:tc>
          <w:tcPr>
            <w:tcW w:type="dxa" w:w="2800"/>
            <w:tcBorders>
              <w:top w:val="single" w:color="CCCCCC" w:sz="1"/>
              <w:left w:val="single" w:color="CCCCCC" w:sz="1"/>
              <w:bottom w:val="single" w:color="CCCCCC" w:sz="1"/>
              <w:right w:val="single" w:color="CCCCCC" w:sz="1"/>
            </w:tcBorders>
            <w:tcMar>
              <w:top w:type="dxa" w:w="80"/>
              <w:left w:type="dxa" w:w="100"/>
              <w:bottom w:type="dxa" w:w="80"/>
              <w:right w:type="dxa" w:w="100"/>
            </w:tcMar>
          </w:tcPr>
          <w:p>
            <w:r>
              <w:rPr>
                <w:sz w:val="20"/>
                <w:szCs w:val="20"/>
              </w:rPr>
              <w:t xml:space="preserve">Software Engineer</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$75,000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$95,000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$120,000</w:t>
            </w:r>
          </w:p>
        </w:tc>
        <w:tc>
          <w:tcPr>
            <w:tcW w:type="dxa" w:w="95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center"/>
            </w:pPr>
            <w:r>
              <w:rPr>
                <w:sz w:val="20"/>
                <w:szCs w:val="20"/>
              </w:rPr>
              <w:t xml:space="preserve">0-3</w:t>
            </w:r>
          </w:p>
        </w:tc>
      </w:tr>
      <w:tr>
        <w:tc>
          <w:tcPr>
            <w:tcW w:type="dxa" w:w="2800"/>
            <w:tcBorders>
              <w:top w:val="single" w:color="CCCCCC" w:sz="1"/>
              <w:left w:val="single" w:color="CCCCCC" w:sz="1"/>
              <w:bottom w:val="single" w:color="CCCCCC" w:sz="1"/>
              <w:right w:val="single" w:color="CCCCCC" w:sz="1"/>
            </w:tcBorders>
            <w:tcMar>
              <w:top w:type="dxa" w:w="80"/>
              <w:left w:type="dxa" w:w="100"/>
              <w:bottom w:type="dxa" w:w="80"/>
              <w:right w:type="dxa" w:w="100"/>
            </w:tcMar>
          </w:tcPr>
          <w:p>
            <w:r>
              <w:rPr>
                <w:sz w:val="20"/>
                <w:szCs w:val="20"/>
              </w:rPr>
              <w:t xml:space="preserve">Senior Software Engineer</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$115,000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$140,000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$175,000</w:t>
            </w:r>
          </w:p>
        </w:tc>
        <w:tc>
          <w:tcPr>
            <w:tcW w:type="dxa" w:w="95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center"/>
            </w:pPr>
            <w:r>
              <w:rPr>
                <w:sz w:val="20"/>
                <w:szCs w:val="20"/>
              </w:rPr>
              <w:t xml:space="preserve">3-7</w:t>
            </w:r>
          </w:p>
        </w:tc>
      </w:tr>
      <w:tr>
        <w:tc>
          <w:tcPr>
            <w:tcW w:type="dxa" w:w="2800"/>
            <w:tcBorders>
              <w:top w:val="single" w:color="CCCCCC" w:sz="1"/>
              <w:left w:val="single" w:color="CCCCCC" w:sz="1"/>
              <w:bottom w:val="single" w:color="CCCCCC" w:sz="1"/>
              <w:right w:val="single" w:color="CCCCCC" w:sz="1"/>
            </w:tcBorders>
            <w:tcMar>
              <w:top w:type="dxa" w:w="80"/>
              <w:left w:type="dxa" w:w="100"/>
              <w:bottom w:type="dxa" w:w="80"/>
              <w:right w:type="dxa" w:w="100"/>
            </w:tcMar>
          </w:tcPr>
          <w:p>
            <w:r>
              <w:rPr>
                <w:sz w:val="20"/>
                <w:szCs w:val="20"/>
              </w:rPr>
              <w:t xml:space="preserve">Engineering Manager</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$135,000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$165,000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$210,000</w:t>
            </w:r>
          </w:p>
        </w:tc>
        <w:tc>
          <w:tcPr>
            <w:tcW w:type="dxa" w:w="95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center"/>
            </w:pPr>
            <w:r>
              <w:rPr>
                <w:sz w:val="20"/>
                <w:szCs w:val="20"/>
              </w:rPr>
              <w:t xml:space="preserve">5+</w:t>
            </w:r>
          </w:p>
        </w:tc>
      </w:tr>
      <w:tr>
        <w:tc>
          <w:tcPr>
            <w:tcW w:type="dxa" w:w="2800"/>
            <w:tcBorders>
              <w:top w:val="single" w:color="CCCCCC" w:sz="1"/>
              <w:left w:val="single" w:color="CCCCCC" w:sz="1"/>
              <w:bottom w:val="single" w:color="CCCCCC" w:sz="1"/>
              <w:right w:val="single" w:color="CCCCCC" w:sz="1"/>
            </w:tcBorders>
            <w:tcMar>
              <w:top w:type="dxa" w:w="80"/>
              <w:left w:type="dxa" w:w="100"/>
              <w:bottom w:type="dxa" w:w="80"/>
              <w:right w:type="dxa" w:w="100"/>
            </w:tcMar>
          </w:tcPr>
          <w:p>
            <w:r>
              <w:rPr>
                <w:sz w:val="20"/>
                <w:szCs w:val="20"/>
              </w:rPr>
              <w:t xml:space="preserve">DevOps Engineer</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$90,000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$115,000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$145,000</w:t>
            </w:r>
          </w:p>
        </w:tc>
        <w:tc>
          <w:tcPr>
            <w:tcW w:type="dxa" w:w="95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center"/>
            </w:pPr>
            <w:r>
              <w:rPr>
                <w:sz w:val="20"/>
                <w:szCs w:val="20"/>
              </w:rPr>
              <w:t xml:space="preserve">2-5</w:t>
            </w:r>
          </w:p>
        </w:tc>
      </w:tr>
      <w:tr>
        <w:tc>
          <w:tcPr>
            <w:tcW w:type="dxa" w:w="2800"/>
            <w:tcBorders>
              <w:top w:val="single" w:color="CCCCCC" w:sz="1"/>
              <w:left w:val="single" w:color="CCCCCC" w:sz="1"/>
              <w:bottom w:val="single" w:color="CCCCCC" w:sz="1"/>
              <w:right w:val="single" w:color="CCCCCC" w:sz="1"/>
            </w:tcBorders>
            <w:tcMar>
              <w:top w:type="dxa" w:w="80"/>
              <w:left w:type="dxa" w:w="100"/>
              <w:bottom w:type="dxa" w:w="80"/>
              <w:right w:type="dxa" w:w="100"/>
            </w:tcMar>
          </w:tcPr>
          <w:p>
            <w:r>
              <w:rPr>
                <w:sz w:val="20"/>
                <w:szCs w:val="20"/>
              </w:rPr>
              <w:t xml:space="preserve">Data Scientist</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$95,000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$120,000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$155,000</w:t>
            </w:r>
          </w:p>
        </w:tc>
        <w:tc>
          <w:tcPr>
            <w:tcW w:type="dxa" w:w="95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center"/>
            </w:pPr>
            <w:r>
              <w:rPr>
                <w:sz w:val="20"/>
                <w:szCs w:val="20"/>
              </w:rPr>
              <w:t xml:space="preserve">2-5</w:t>
            </w:r>
          </w:p>
        </w:tc>
      </w:tr>
    </w:tbl>
    <w:p>
      <w:pPr>
        <w:spacing w:before="240" w:after="180"/>
      </w:pPr>
    </w:p>
    <w:p>
      <w:pPr>
        <w:pStyle w:val="Heading2"/>
      </w:pPr>
      <w:r>
        <w:t xml:space="preserve">Business and Operations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800"/>
        <w:gridCol w:w="1870"/>
        <w:gridCol w:w="1870"/>
        <w:gridCol w:w="1870"/>
        <w:gridCol w:w="950"/>
      </w:tblGrid>
      <w:tr>
        <w:tc>
          <w:tcPr>
            <w:tcW w:type="dxa" w:w="2800"/>
            <w:tcBorders>
              <w:top w:val="single" w:color="CCCCCC" w:sz="1"/>
              <w:left w:val="single" w:color="CCCCCC" w:sz="1"/>
              <w:bottom w:val="single" w:color="CCCCCC" w:sz="1"/>
              <w:right w:val="single" w:color="CCCCCC" w:sz="1"/>
            </w:tcBorders>
            <w:shd w:fill="4472C4" w:val="clear"/>
            <w:tcMar>
              <w:top w:type="dxa" w:w="100"/>
              <w:left w:type="dxa" w:w="100"/>
              <w:bottom w:type="dxa" w:w="100"/>
              <w:right w:type="dxa" w:w="100"/>
            </w:tcMar>
          </w:tcPr>
          <w:p>
            <w:pPr>
              <w:jc w:val="center"/>
            </w:pPr>
            <w:r>
              <w:rPr>
                <w:b/>
                <w:bCs/>
                <w:color w:val="FFFFFF"/>
                <w:sz w:val="20"/>
                <w:szCs w:val="20"/>
              </w:rPr>
              <w:t xml:space="preserve">Position</w:t>
            </w:r>
          </w:p>
        </w:tc>
        <w:tc>
          <w:tcPr>
            <w:tcW w:type="dxa" w:w="1870"/>
            <w:tcBorders>
              <w:top w:val="single" w:color="CCCCCC" w:sz="1"/>
              <w:left w:val="single" w:color="CCCCCC" w:sz="1"/>
              <w:bottom w:val="single" w:color="CCCCCC" w:sz="1"/>
              <w:right w:val="single" w:color="CCCCCC" w:sz="1"/>
            </w:tcBorders>
            <w:shd w:fill="4472C4" w:val="clear"/>
            <w:tcMar>
              <w:top w:type="dxa" w:w="100"/>
              <w:left w:type="dxa" w:w="100"/>
              <w:bottom w:type="dxa" w:w="100"/>
              <w:right w:type="dxa" w:w="100"/>
            </w:tcMar>
          </w:tcPr>
          <w:p>
            <w:pPr>
              <w:jc w:val="center"/>
            </w:pPr>
            <w:r>
              <w:rPr>
                <w:b/>
                <w:bCs/>
                <w:color w:val="FFFFFF"/>
                <w:sz w:val="20"/>
                <w:szCs w:val="20"/>
              </w:rPr>
              <w:t xml:space="preserve">P25</w:t>
            </w:r>
          </w:p>
        </w:tc>
        <w:tc>
          <w:tcPr>
            <w:tcW w:type="dxa" w:w="1870"/>
            <w:tcBorders>
              <w:top w:val="single" w:color="CCCCCC" w:sz="1"/>
              <w:left w:val="single" w:color="CCCCCC" w:sz="1"/>
              <w:bottom w:val="single" w:color="CCCCCC" w:sz="1"/>
              <w:right w:val="single" w:color="CCCCCC" w:sz="1"/>
            </w:tcBorders>
            <w:shd w:fill="4472C4" w:val="clear"/>
            <w:tcMar>
              <w:top w:type="dxa" w:w="100"/>
              <w:left w:type="dxa" w:w="100"/>
              <w:bottom w:type="dxa" w:w="100"/>
              <w:right w:type="dxa" w:w="100"/>
            </w:tcMar>
          </w:tcPr>
          <w:p>
            <w:pPr>
              <w:jc w:val="center"/>
            </w:pPr>
            <w:r>
              <w:rPr>
                <w:b/>
                <w:bCs/>
                <w:color w:val="FFFFFF"/>
                <w:sz w:val="20"/>
                <w:szCs w:val="20"/>
              </w:rPr>
              <w:t xml:space="preserve">Median</w:t>
            </w:r>
          </w:p>
        </w:tc>
        <w:tc>
          <w:tcPr>
            <w:tcW w:type="dxa" w:w="1870"/>
            <w:tcBorders>
              <w:top w:val="single" w:color="CCCCCC" w:sz="1"/>
              <w:left w:val="single" w:color="CCCCCC" w:sz="1"/>
              <w:bottom w:val="single" w:color="CCCCCC" w:sz="1"/>
              <w:right w:val="single" w:color="CCCCCC" w:sz="1"/>
            </w:tcBorders>
            <w:shd w:fill="4472C4" w:val="clear"/>
            <w:tcMar>
              <w:top w:type="dxa" w:w="100"/>
              <w:left w:type="dxa" w:w="100"/>
              <w:bottom w:type="dxa" w:w="100"/>
              <w:right w:type="dxa" w:w="100"/>
            </w:tcMar>
          </w:tcPr>
          <w:p>
            <w:pPr>
              <w:jc w:val="center"/>
            </w:pPr>
            <w:r>
              <w:rPr>
                <w:b/>
                <w:bCs/>
                <w:color w:val="FFFFFF"/>
                <w:sz w:val="20"/>
                <w:szCs w:val="20"/>
              </w:rPr>
              <w:t xml:space="preserve">P75</w:t>
            </w:r>
          </w:p>
        </w:tc>
        <w:tc>
          <w:tcPr>
            <w:tcW w:type="dxa" w:w="950"/>
            <w:tcBorders>
              <w:top w:val="single" w:color="CCCCCC" w:sz="1"/>
              <w:left w:val="single" w:color="CCCCCC" w:sz="1"/>
              <w:bottom w:val="single" w:color="CCCCCC" w:sz="1"/>
              <w:right w:val="single" w:color="CCCCCC" w:sz="1"/>
            </w:tcBorders>
            <w:shd w:fill="4472C4" w:val="clear"/>
            <w:tcMar>
              <w:top w:type="dxa" w:w="100"/>
              <w:left w:type="dxa" w:w="100"/>
              <w:bottom w:type="dxa" w:w="100"/>
              <w:right w:type="dxa" w:w="100"/>
            </w:tcMar>
          </w:tcPr>
          <w:p>
            <w:pPr>
              <w:jc w:val="center"/>
            </w:pPr>
            <w:r>
              <w:rPr>
                <w:b/>
                <w:bCs/>
                <w:color w:val="FFFFFF"/>
                <w:sz w:val="20"/>
                <w:szCs w:val="20"/>
              </w:rPr>
              <w:t xml:space="preserve">Exp</w:t>
            </w:r>
          </w:p>
        </w:tc>
      </w:tr>
      <w:tr>
        <w:tc>
          <w:tcPr>
            <w:tcW w:type="dxa" w:w="2800"/>
            <w:tcBorders>
              <w:top w:val="single" w:color="CCCCCC" w:sz="1"/>
              <w:left w:val="single" w:color="CCCCCC" w:sz="1"/>
              <w:bottom w:val="single" w:color="CCCCCC" w:sz="1"/>
              <w:right w:val="single" w:color="CCCCCC" w:sz="1"/>
            </w:tcBorders>
            <w:tcMar>
              <w:top w:type="dxa" w:w="80"/>
              <w:left w:type="dxa" w:w="100"/>
              <w:bottom w:type="dxa" w:w="80"/>
              <w:right w:type="dxa" w:w="100"/>
            </w:tcMar>
          </w:tcPr>
          <w:p>
            <w:r>
              <w:rPr>
                <w:sz w:val="20"/>
                <w:szCs w:val="20"/>
              </w:rPr>
              <w:t xml:space="preserve">HR Manager</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$70,000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$90,000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$115,000</w:t>
            </w:r>
          </w:p>
        </w:tc>
        <w:tc>
          <w:tcPr>
            <w:tcW w:type="dxa" w:w="95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center"/>
            </w:pPr>
            <w:r>
              <w:rPr>
                <w:sz w:val="20"/>
                <w:szCs w:val="20"/>
              </w:rPr>
              <w:t xml:space="preserve">3-5</w:t>
            </w:r>
          </w:p>
        </w:tc>
      </w:tr>
      <w:tr>
        <w:tc>
          <w:tcPr>
            <w:tcW w:type="dxa" w:w="2800"/>
            <w:tcBorders>
              <w:top w:val="single" w:color="CCCCCC" w:sz="1"/>
              <w:left w:val="single" w:color="CCCCCC" w:sz="1"/>
              <w:bottom w:val="single" w:color="CCCCCC" w:sz="1"/>
              <w:right w:val="single" w:color="CCCCCC" w:sz="1"/>
            </w:tcBorders>
            <w:tcMar>
              <w:top w:type="dxa" w:w="80"/>
              <w:left w:type="dxa" w:w="100"/>
              <w:bottom w:type="dxa" w:w="80"/>
              <w:right w:type="dxa" w:w="100"/>
            </w:tcMar>
          </w:tcPr>
          <w:p>
            <w:r>
              <w:rPr>
                <w:sz w:val="20"/>
                <w:szCs w:val="20"/>
              </w:rPr>
              <w:t xml:space="preserve">Marketing Manager</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$75,000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$95,000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$125,000</w:t>
            </w:r>
          </w:p>
        </w:tc>
        <w:tc>
          <w:tcPr>
            <w:tcW w:type="dxa" w:w="95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center"/>
            </w:pPr>
            <w:r>
              <w:rPr>
                <w:sz w:val="20"/>
                <w:szCs w:val="20"/>
              </w:rPr>
              <w:t xml:space="preserve">3-6</w:t>
            </w:r>
          </w:p>
        </w:tc>
      </w:tr>
      <w:tr>
        <w:tc>
          <w:tcPr>
            <w:tcW w:type="dxa" w:w="2800"/>
            <w:tcBorders>
              <w:top w:val="single" w:color="CCCCCC" w:sz="1"/>
              <w:left w:val="single" w:color="CCCCCC" w:sz="1"/>
              <w:bottom w:val="single" w:color="CCCCCC" w:sz="1"/>
              <w:right w:val="single" w:color="CCCCCC" w:sz="1"/>
            </w:tcBorders>
            <w:tcMar>
              <w:top w:type="dxa" w:w="80"/>
              <w:left w:type="dxa" w:w="100"/>
              <w:bottom w:type="dxa" w:w="80"/>
              <w:right w:type="dxa" w:w="100"/>
            </w:tcMar>
          </w:tcPr>
          <w:p>
            <w:r>
              <w:rPr>
                <w:sz w:val="20"/>
                <w:szCs w:val="20"/>
              </w:rPr>
              <w:t xml:space="preserve">Sales Representative</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$55,000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$70,000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$90,000</w:t>
            </w:r>
          </w:p>
        </w:tc>
        <w:tc>
          <w:tcPr>
            <w:tcW w:type="dxa" w:w="95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center"/>
            </w:pPr>
            <w:r>
              <w:rPr>
                <w:sz w:val="20"/>
                <w:szCs w:val="20"/>
              </w:rPr>
              <w:t xml:space="preserve">1-4</w:t>
            </w:r>
          </w:p>
        </w:tc>
      </w:tr>
      <w:tr>
        <w:tc>
          <w:tcPr>
            <w:tcW w:type="dxa" w:w="2800"/>
            <w:tcBorders>
              <w:top w:val="single" w:color="CCCCCC" w:sz="1"/>
              <w:left w:val="single" w:color="CCCCCC" w:sz="1"/>
              <w:bottom w:val="single" w:color="CCCCCC" w:sz="1"/>
              <w:right w:val="single" w:color="CCCCCC" w:sz="1"/>
            </w:tcBorders>
            <w:tcMar>
              <w:top w:type="dxa" w:w="80"/>
              <w:left w:type="dxa" w:w="100"/>
              <w:bottom w:type="dxa" w:w="80"/>
              <w:right w:type="dxa" w:w="100"/>
            </w:tcMar>
          </w:tcPr>
          <w:p>
            <w:r>
              <w:rPr>
                <w:sz w:val="20"/>
                <w:szCs w:val="20"/>
              </w:rPr>
              <w:t xml:space="preserve">Financial Analyst</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$60,000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$75,000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$95,000</w:t>
            </w:r>
          </w:p>
        </w:tc>
        <w:tc>
          <w:tcPr>
            <w:tcW w:type="dxa" w:w="95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center"/>
            </w:pPr>
            <w:r>
              <w:rPr>
                <w:sz w:val="20"/>
                <w:szCs w:val="20"/>
              </w:rPr>
              <w:t xml:space="preserve">2-5</w:t>
            </w:r>
          </w:p>
        </w:tc>
      </w:tr>
      <w:tr>
        <w:tc>
          <w:tcPr>
            <w:tcW w:type="dxa" w:w="2800"/>
            <w:tcBorders>
              <w:top w:val="single" w:color="CCCCCC" w:sz="1"/>
              <w:left w:val="single" w:color="CCCCCC" w:sz="1"/>
              <w:bottom w:val="single" w:color="CCCCCC" w:sz="1"/>
              <w:right w:val="single" w:color="CCCCCC" w:sz="1"/>
            </w:tcBorders>
            <w:tcMar>
              <w:top w:type="dxa" w:w="80"/>
              <w:left w:type="dxa" w:w="100"/>
              <w:bottom w:type="dxa" w:w="80"/>
              <w:right w:type="dxa" w:w="100"/>
            </w:tcMar>
          </w:tcPr>
          <w:p>
            <w:r>
              <w:rPr>
                <w:sz w:val="20"/>
                <w:szCs w:val="20"/>
              </w:rPr>
              <w:t xml:space="preserve">Project Manager</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$75,000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$95,000</w:t>
            </w:r>
          </w:p>
        </w:tc>
        <w:tc>
          <w:tcPr>
            <w:tcW w:type="dxa" w:w="187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right"/>
            </w:pPr>
            <w:r>
              <w:rPr>
                <w:sz w:val="20"/>
                <w:szCs w:val="20"/>
              </w:rPr>
              <w:t xml:space="preserve">$120,000</w:t>
            </w:r>
          </w:p>
        </w:tc>
        <w:tc>
          <w:tcPr>
            <w:tcW w:type="dxa" w:w="950"/>
            <w:tcBorders>
              <w:top w:val="single" w:color="CCCCCC" w:sz="1"/>
              <w:left w:val="single" w:color="CCCCCC" w:sz="1"/>
              <w:bottom w:val="single" w:color="CCCCCC" w:sz="1"/>
              <w:right w:val="single" w:color="CCCCCC" w:sz="1"/>
            </w:tcBorders>
            <w:tcMar>
              <w:top w:type="dxa" w:w="80"/>
              <w:left w:type="dxa" w:w="100"/>
              <w:bottom w:type="dxa" w:w="80"/>
              <w:right w:type="dxa" w:w="100"/>
            </w:tcMar>
          </w:tcPr>
          <w:p>
            <w:pPr>
              <w:jc w:val="center"/>
            </w:pPr>
            <w:r>
              <w:rPr>
                <w:sz w:val="20"/>
                <w:szCs w:val="20"/>
              </w:rPr>
              <w:t xml:space="preserve">3-6</w:t>
            </w:r>
          </w:p>
        </w:tc>
      </w:tr>
    </w:tbl>
    <w:p>
      <w:pPr>
        <w:spacing w:before="240" w:after="120"/>
      </w:pPr>
    </w:p>
    <w:p>
      <w:pPr>
        <w:spacing w:after="240"/>
      </w:pPr>
      <w:r>
        <w:rPr>
          <w:i/>
          <w:iCs/>
          <w:sz w:val="18"/>
          <w:szCs w:val="18"/>
        </w:rPr>
        <w:t xml:space="preserve">Note: All salary figures are in USD and represent base salary only. Total compensation including bonuses, equity, and benefits typically ranges 20-40% higher. Adjust for local market conditions and cost of living.</w:t>
      </w:r>
    </w:p>
    <w:p>
      <w:r>
        <w:br w:type="page"/>
      </w:r>
    </w:p>
    <w:p>
      <w:pPr>
        <w:pStyle w:val="Heading1"/>
      </w:pPr>
      <w:r>
        <w:t xml:space="preserve">10. Conclusion and Next Steps</w:t>
      </w:r>
    </w:p>
    <w:p>
      <w:pPr>
        <w:spacing w:after="180"/>
      </w:pPr>
      <w:r>
        <w:t xml:space="preserve">Effective salary benchmarking is an ongoing strategic process that requires commitment, resources, and regular attention. When done well, it provides significant competitive advantages in talent acquisition and retention while supporting organizational objectives.</w:t>
      </w:r>
    </w:p>
    <w:p>
      <w:pPr>
        <w:pStyle w:val="Heading2"/>
      </w:pPr>
      <w:r>
        <w:t xml:space="preserve">Key Takeaways</w:t>
      </w:r>
    </w:p>
    <w:p>
      <w:pPr>
        <w:pStyle w:val="ListParagraph"/>
        <w:numPr>
          <w:ilvl w:val="0"/>
          <w:numId w:val="2"/>
        </w:numPr>
      </w:pPr>
      <w:r>
        <w:rPr>
          <w:b/>
          <w:bCs/>
        </w:rPr>
        <w:t xml:space="preserve">Strategic Importance: </w:t>
      </w:r>
      <w:r>
        <w:t xml:space="preserve">Salary benchmarking is essential for competitive talent management</w:t>
      </w:r>
    </w:p>
    <w:p>
      <w:pPr>
        <w:pStyle w:val="ListParagraph"/>
        <w:numPr>
          <w:ilvl w:val="0"/>
          <w:numId w:val="2"/>
        </w:numPr>
      </w:pPr>
      <w:r>
        <w:rPr>
          <w:b/>
          <w:bCs/>
        </w:rPr>
        <w:t xml:space="preserve">Data Quality Matters: </w:t>
      </w:r>
      <w:r>
        <w:t xml:space="preserve">Use multiple recent sources and match roles carefully</w:t>
      </w:r>
    </w:p>
    <w:p>
      <w:pPr>
        <w:pStyle w:val="ListParagraph"/>
        <w:numPr>
          <w:ilvl w:val="0"/>
          <w:numId w:val="2"/>
        </w:numPr>
      </w:pPr>
      <w:r>
        <w:rPr>
          <w:b/>
          <w:bCs/>
        </w:rPr>
        <w:t xml:space="preserve">Total Compensation: </w:t>
      </w:r>
      <w:r>
        <w:t xml:space="preserve">Consider all components, not just base salary</w:t>
      </w:r>
    </w:p>
    <w:p>
      <w:pPr>
        <w:pStyle w:val="ListParagraph"/>
        <w:numPr>
          <w:ilvl w:val="0"/>
          <w:numId w:val="2"/>
        </w:numPr>
      </w:pPr>
      <w:r>
        <w:rPr>
          <w:b/>
          <w:bCs/>
        </w:rPr>
        <w:t xml:space="preserve">Regular Reviews: </w:t>
      </w:r>
      <w:r>
        <w:t xml:space="preserve">Conduct annual benchmarking with quarterly updates for critical roles</w:t>
      </w:r>
    </w:p>
    <w:p>
      <w:pPr>
        <w:pStyle w:val="ListParagraph"/>
        <w:numPr>
          <w:ilvl w:val="0"/>
          <w:numId w:val="2"/>
        </w:numPr>
        <w:spacing w:after="180"/>
      </w:pPr>
      <w:r>
        <w:rPr>
          <w:b/>
          <w:bCs/>
        </w:rPr>
        <w:t xml:space="preserve">Transparency: </w:t>
      </w:r>
      <w:r>
        <w:t xml:space="preserve">Clear communication builds trust and understanding</w:t>
      </w:r>
    </w:p>
    <w:p>
      <w:pPr>
        <w:pStyle w:val="Heading2"/>
      </w:pPr>
      <w:r>
        <w:t xml:space="preserve">Recommended Action Plan</w:t>
      </w:r>
    </w:p>
    <w:p>
      <w:pPr>
        <w:pStyle w:val="ListParagraph"/>
        <w:numPr>
          <w:ilvl w:val="0"/>
          <w:numId w:val="3"/>
        </w:numPr>
      </w:pPr>
      <w:r>
        <w:rPr>
          <w:b/>
          <w:bCs/>
        </w:rPr>
        <w:t xml:space="preserve">Immediate (Next 30 Days): </w:t>
      </w:r>
      <w:r>
        <w:t xml:space="preserve">Identify critical roles requiring benchmarking and gather initial data</w:t>
      </w:r>
    </w:p>
    <w:p>
      <w:pPr>
        <w:pStyle w:val="ListParagraph"/>
        <w:numPr>
          <w:ilvl w:val="0"/>
          <w:numId w:val="3"/>
        </w:numPr>
      </w:pPr>
      <w:r>
        <w:rPr>
          <w:b/>
          <w:bCs/>
        </w:rPr>
        <w:t xml:space="preserve">Short-term (Next 90 Days): </w:t>
      </w:r>
      <w:r>
        <w:t xml:space="preserve">Complete comprehensive benchmarking analysis and develop recommendations</w:t>
      </w:r>
    </w:p>
    <w:p>
      <w:pPr>
        <w:pStyle w:val="ListParagraph"/>
        <w:numPr>
          <w:ilvl w:val="0"/>
          <w:numId w:val="3"/>
        </w:numPr>
      </w:pPr>
      <w:r>
        <w:rPr>
          <w:b/>
          <w:bCs/>
        </w:rPr>
        <w:t xml:space="preserve">Medium-term (Next 6 Months): </w:t>
      </w:r>
      <w:r>
        <w:t xml:space="preserve">Implement approved adjustments and establish salary ranges</w:t>
      </w:r>
    </w:p>
    <w:p>
      <w:pPr>
        <w:pStyle w:val="ListParagraph"/>
        <w:numPr>
          <w:ilvl w:val="0"/>
          <w:numId w:val="3"/>
        </w:numPr>
        <w:spacing w:after="180"/>
      </w:pPr>
      <w:r>
        <w:rPr>
          <w:b/>
          <w:bCs/>
        </w:rPr>
        <w:t xml:space="preserve">Ongoing: </w:t>
      </w:r>
      <w:r>
        <w:t xml:space="preserve">Schedule quarterly spot-checks and annual comprehensive reviews</w:t>
      </w:r>
    </w:p>
    <w:p>
      <w:pPr>
        <w:pStyle w:val="Heading2"/>
      </w:pPr>
      <w:r>
        <w:t xml:space="preserve">How Jurist Zone Can Help</w:t>
      </w:r>
    </w:p>
    <w:p>
      <w:pPr>
        <w:spacing w:after="120"/>
      </w:pPr>
      <w:r>
        <w:t xml:space="preserve">Jurist Zone Management Consultant offers comprehensive salary benchmarking services tailored to your organization's specific needs:</w:t>
      </w:r>
    </w:p>
    <w:p>
      <w:pPr>
        <w:pStyle w:val="ListParagraph"/>
        <w:numPr>
          <w:ilvl w:val="0"/>
          <w:numId w:val="2"/>
        </w:numPr>
      </w:pPr>
      <w:r>
        <w:t xml:space="preserve">Custom market analysis for your industry and geography</w:t>
      </w:r>
    </w:p>
    <w:p>
      <w:pPr>
        <w:pStyle w:val="ListParagraph"/>
        <w:numPr>
          <w:ilvl w:val="0"/>
          <w:numId w:val="2"/>
        </w:numPr>
      </w:pPr>
      <w:r>
        <w:t xml:space="preserve">Comprehensive compensation structure reviews</w:t>
      </w:r>
    </w:p>
    <w:p>
      <w:pPr>
        <w:pStyle w:val="ListParagraph"/>
        <w:numPr>
          <w:ilvl w:val="0"/>
          <w:numId w:val="2"/>
        </w:numPr>
      </w:pPr>
      <w:r>
        <w:t xml:space="preserve">Job evaluation and grading frameworks</w:t>
      </w:r>
    </w:p>
    <w:p>
      <w:pPr>
        <w:pStyle w:val="ListParagraph"/>
        <w:numPr>
          <w:ilvl w:val="0"/>
          <w:numId w:val="2"/>
        </w:numPr>
      </w:pPr>
      <w:r>
        <w:t xml:space="preserve">Pay equity analysis and remediation planning</w:t>
      </w:r>
    </w:p>
    <w:p>
      <w:pPr>
        <w:pStyle w:val="ListParagraph"/>
        <w:numPr>
          <w:ilvl w:val="0"/>
          <w:numId w:val="2"/>
        </w:numPr>
      </w:pPr>
      <w:r>
        <w:t xml:space="preserve">Total rewards strategy development</w:t>
      </w:r>
    </w:p>
    <w:p>
      <w:pPr>
        <w:pStyle w:val="ListParagraph"/>
        <w:numPr>
          <w:ilvl w:val="0"/>
          <w:numId w:val="2"/>
        </w:numPr>
        <w:spacing w:after="240"/>
      </w:pPr>
      <w:r>
        <w:t xml:space="preserve">Ongoing market monitoring and consultation</w:t>
      </w:r>
    </w:p>
    <w:p>
      <w:pPr>
        <w:spacing w:before="480" w:after="120"/>
        <w:jc w:val="center"/>
      </w:pPr>
      <w:r>
        <w:rPr>
          <w:b/>
          <w:bCs/>
          <w:color w:val="1F4E78"/>
          <w:sz w:val="28"/>
          <w:szCs w:val="28"/>
        </w:rPr>
        <w:t xml:space="preserve">Contact Us</w:t>
      </w:r>
    </w:p>
    <w:p>
      <w:pPr>
        <w:spacing w:after="120"/>
        <w:jc w:val="center"/>
      </w:pPr>
      <w:r>
        <w:rPr>
          <w:b/>
          <w:bCs/>
          <w:sz w:val="24"/>
          <w:szCs w:val="24"/>
        </w:rPr>
        <w:t xml:space="preserve">Jurist Zone Management Consultant</w:t>
      </w:r>
    </w:p>
    <w:p>
      <w:pPr>
        <w:spacing w:after="120"/>
        <w:jc w:val="center"/>
      </w:pPr>
      <w:r>
        <w:rPr>
          <w:color w:val="0563C1"/>
          <w:sz w:val="22"/>
          <w:szCs w:val="22"/>
          <w:u w:val="single"/>
        </w:rPr>
        <w:t xml:space="preserve">www.contractstaffinghub.com</w:t>
      </w:r>
    </w:p>
    <w:p>
      <w:pPr>
        <w:spacing w:after="120"/>
        <w:jc w:val="center"/>
      </w:pPr>
      <w:r>
        <w:rPr>
          <w:sz w:val="22"/>
          <w:szCs w:val="22"/>
        </w:rPr>
        <w:t xml:space="preserve">Email: pyushverma@contractstaffinghub.com</w:t>
      </w:r>
    </w:p>
    <w:p>
      <w:pPr>
        <w:spacing w:before="480"/>
        <w:jc w:val="center"/>
      </w:pPr>
      <w:r>
        <w:rPr>
          <w:i/>
          <w:iCs/>
          <w:sz w:val="22"/>
          <w:szCs w:val="22"/>
        </w:rPr>
        <w:t xml:space="preserve">Let us help you build a competitive compensation strategy that attracts and retains top talent.</w:t>
      </w:r>
    </w:p>
    <w:sectPr>
      <w:footerReference w:type="default" r:id="rId6"/>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sz w:val="18"/>
        <w:szCs w:val="18"/>
      </w:rPr>
      <w:t xml:space="preserve">Jurist Zone Management Consultant | </w:t>
    </w:r>
    <w:r>
      <w:rPr>
        <w:sz w:val="18"/>
        <w:szCs w:val="18"/>
      </w:rPr>
      <w:t xml:space="preserve">www.contractstaffinghub.com | </w:t>
    </w:r>
    <w:r>
      <w:rPr>
        <w:sz w:val="18"/>
        <w:szCs w:val="18"/>
      </w:rPr>
      <w:t xml:space="preserve">Page </w:t>
    </w:r>
    <w:r>
      <w:rPr>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40" w:after="180"/>
      <w:outlineLvl w:val="0"/>
    </w:pPr>
    <w:rPr>
      <w:rFonts w:ascii="Arial" w:cs="Arial" w:eastAsia="Arial" w:hAnsi="Arial"/>
      <w:b/>
      <w:bCs/>
      <w:color w:val="1F4E78"/>
      <w:sz w:val="32"/>
      <w:szCs w:val="32"/>
    </w:rPr>
  </w:style>
  <w:style w:type="paragraph" w:styleId="Heading2">
    <w:name w:val="Heading 2"/>
    <w:basedOn w:val="Normal"/>
    <w:next w:val="Normal"/>
    <w:qFormat/>
    <w:pPr>
      <w:spacing w:before="200" w:after="120"/>
      <w:outlineLvl w:val="1"/>
    </w:pPr>
    <w:rPr>
      <w:rFonts w:ascii="Arial" w:cs="Arial" w:eastAsia="Arial" w:hAnsi="Arial"/>
      <w:b/>
      <w:bCs/>
      <w:color w:val="2E75B5"/>
      <w:sz w:val="28"/>
      <w:szCs w:val="28"/>
    </w:rPr>
  </w:style>
  <w:style w:type="paragraph" w:styleId="Heading3">
    <w:name w:val="Heading 3"/>
    <w:basedOn w:val="Normal"/>
    <w:next w:val="Normal"/>
    <w:qFormat/>
    <w:pPr>
      <w:spacing w:before="160" w:after="100"/>
      <w:outlineLvl w:val="2"/>
    </w:pPr>
    <w:rPr>
      <w:rFonts w:ascii="Arial" w:cs="Arial" w:eastAsia="Arial" w:hAnsi="Arial"/>
      <w:b/>
      <w:bCs/>
      <w:color w:val="4472C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oter" Target="footer1.xml"/><Relationship Id="rId7"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2026-01-27T08:48:38.293Z</dcterms:created>
  <dcterms:modified xsi:type="dcterms:W3CDTF">2026-01-27T08:48:38.294Z</dcterms:modified>
</cp:coreProperties>
</file>

<file path=docProps/custom.xml><?xml version="1.0" encoding="utf-8"?>
<Properties xmlns="http://schemas.openxmlformats.org/officeDocument/2006/custom-properties" xmlns:vt="http://schemas.openxmlformats.org/officeDocument/2006/docPropsVTypes"/>
</file>